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ED5083" w:rsidRPr="00ED5083" w:rsidTr="00ED5083">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ED5083" w:rsidRPr="00ED5083" w:rsidRDefault="00ED5083" w:rsidP="00ED5083">
            <w:pPr>
              <w:spacing w:before="100" w:beforeAutospacing="1" w:after="100" w:afterAutospacing="1" w:line="240" w:lineRule="auto"/>
              <w:jc w:val="center"/>
              <w:rPr>
                <w:rFonts w:ascii="Arial" w:eastAsia="Times New Roman" w:hAnsi="Arial" w:cs="Arial"/>
                <w:sz w:val="20"/>
                <w:szCs w:val="20"/>
                <w:lang w:eastAsia="en-AU"/>
              </w:rPr>
            </w:pPr>
            <w:r w:rsidRPr="00ED5083">
              <w:rPr>
                <w:rFonts w:ascii="Arial" w:eastAsia="Times New Roman" w:hAnsi="Arial" w:cs="Arial"/>
                <w:b/>
                <w:bCs/>
                <w:sz w:val="20"/>
                <w:szCs w:val="20"/>
                <w:lang w:eastAsia="en-AU"/>
              </w:rPr>
              <w:t>Table 8.2.1.1 Requirements for accepted development subject to requirements - Coastal hazard overlay</w:t>
            </w:r>
          </w:p>
        </w:tc>
      </w:tr>
    </w:tbl>
    <w:p w:rsidR="00ED5083" w:rsidRDefault="00ED5083"/>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8966"/>
        <w:gridCol w:w="2779"/>
        <w:gridCol w:w="2606"/>
      </w:tblGrid>
      <w:tr w:rsidR="00ED5083" w:rsidRPr="00ED5083" w:rsidTr="00ED5083">
        <w:trPr>
          <w:tblCellSpacing w:w="15" w:type="dxa"/>
        </w:trPr>
        <w:tc>
          <w:tcPr>
            <w:tcW w:w="324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Requirements for accepted development</w:t>
            </w: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ED5083" w:rsidRPr="002A4FFF" w:rsidRDefault="00ED5083" w:rsidP="00ED5083">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ED5083" w:rsidRDefault="00ED5083" w:rsidP="00ED5083">
            <w:pPr>
              <w:pStyle w:val="ListParagraph"/>
              <w:numPr>
                <w:ilvl w:val="0"/>
                <w:numId w:val="1"/>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ED5083" w:rsidRPr="00282FCF" w:rsidRDefault="00ED5083" w:rsidP="00ED5083">
            <w:pPr>
              <w:pStyle w:val="ListParagraph"/>
              <w:numPr>
                <w:ilvl w:val="0"/>
                <w:numId w:val="1"/>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ED5083" w:rsidRPr="00282FCF" w:rsidRDefault="00ED5083" w:rsidP="00ED508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ED5083" w:rsidRPr="00ED5083" w:rsidTr="00ED508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b/>
                <w:bCs/>
                <w:sz w:val="20"/>
                <w:szCs w:val="20"/>
                <w:lang w:eastAsia="en-AU"/>
              </w:rPr>
            </w:pPr>
            <w:r w:rsidRPr="00ED5083">
              <w:rPr>
                <w:rFonts w:ascii="Arial" w:eastAsia="Times New Roman" w:hAnsi="Arial" w:cs="Arial"/>
                <w:b/>
                <w:bCs/>
                <w:sz w:val="20"/>
                <w:szCs w:val="20"/>
                <w:lang w:eastAsia="en-AU"/>
              </w:rPr>
              <w:t>Section A – If for accepted development subject to requirements for material change of use in an existing building and not in the Erosion Prone Area</w:t>
            </w:r>
          </w:p>
        </w:tc>
      </w:tr>
      <w:tr w:rsidR="00ED5083" w:rsidRPr="00ED5083" w:rsidTr="00ED5083">
        <w:trPr>
          <w:trHeight w:val="1770"/>
          <w:tblCellSpacing w:w="15" w:type="dxa"/>
        </w:trPr>
        <w:tc>
          <w:tcPr>
            <w:tcW w:w="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RAD1</w:t>
            </w:r>
          </w:p>
        </w:tc>
        <w:tc>
          <w:tcPr>
            <w:tcW w:w="29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ensures that new building materials utilised as a consequence of the change of use for habitable and non-habitable rooms below the flood planning level in </w:t>
            </w:r>
            <w:r w:rsidRPr="00ED5083">
              <w:rPr>
                <w:rFonts w:ascii="Arial" w:eastAsia="Times New Roman" w:hAnsi="Arial" w:cs="Arial"/>
                <w:color w:val="0000FF"/>
                <w:sz w:val="20"/>
                <w:szCs w:val="20"/>
                <w:lang w:eastAsia="en-AU"/>
              </w:rPr>
              <w:t xml:space="preserve">Table 8.2.1.3 </w:t>
            </w:r>
            <w:r w:rsidRPr="00ED5083">
              <w:rPr>
                <w:rFonts w:ascii="Arial" w:eastAsia="Times New Roman" w:hAnsi="Arial" w:cs="Arial"/>
                <w:sz w:val="20"/>
                <w:szCs w:val="20"/>
                <w:lang w:eastAsia="en-AU"/>
              </w:rPr>
              <w:t xml:space="preserve">have a high water resistance.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846"/>
            </w:tblGrid>
            <w:tr w:rsidR="00ED5083" w:rsidRPr="00ED5083" w:rsidTr="00ED5083">
              <w:trPr>
                <w:tblCellSpacing w:w="15" w:type="dxa"/>
              </w:trPr>
              <w:tc>
                <w:tcPr>
                  <w:tcW w:w="0" w:type="auto"/>
                  <w:vAlign w:val="center"/>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Note - The Queensland Government Fact Sheet 'Rebuilding after a flood' provides information about water resilient products and building techniques.  Available at </w:t>
                  </w:r>
                  <w:hyperlink r:id="rId7" w:tgtFrame="_blank" w:history="1">
                    <w:r w:rsidRPr="00ED5083">
                      <w:rPr>
                        <w:rFonts w:ascii="Arial" w:eastAsia="Times New Roman" w:hAnsi="Arial" w:cs="Arial"/>
                        <w:color w:val="0000FF"/>
                        <w:sz w:val="20"/>
                        <w:szCs w:val="20"/>
                        <w:lang w:eastAsia="en-AU"/>
                      </w:rPr>
                      <w:t>http://www.hpw.qld.gov.au/SiteCollectionDocuments/WaterResilient ProductsAndBuildingTechniquesForRebuildingAfterAFlood.pdf</w:t>
                    </w:r>
                  </w:hyperlink>
                </w:p>
              </w:tc>
            </w:tr>
          </w:tbl>
          <w:p w:rsidR="00ED5083" w:rsidRPr="00ED5083" w:rsidRDefault="00ED5083" w:rsidP="00ED5083">
            <w:pPr>
              <w:spacing w:before="100" w:beforeAutospacing="1" w:after="100" w:afterAutospacing="1" w:line="240" w:lineRule="auto"/>
              <w:rPr>
                <w:rFonts w:ascii="Arial" w:eastAsia="Times New Roman" w:hAnsi="Arial" w:cs="Arial"/>
                <w:sz w:val="20"/>
                <w:szCs w:val="20"/>
                <w:lang w:eastAsia="en-AU"/>
              </w:rPr>
            </w:pPr>
          </w:p>
        </w:tc>
        <w:tc>
          <w:tcPr>
            <w:tcW w:w="899"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rsidTr="00ED508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b/>
                <w:bCs/>
                <w:sz w:val="20"/>
                <w:szCs w:val="20"/>
                <w:lang w:eastAsia="en-AU"/>
              </w:rPr>
            </w:pPr>
            <w:r w:rsidRPr="00ED5083">
              <w:rPr>
                <w:rFonts w:ascii="Arial" w:eastAsia="Times New Roman" w:hAnsi="Arial" w:cs="Arial"/>
                <w:b/>
                <w:bCs/>
                <w:sz w:val="20"/>
                <w:szCs w:val="20"/>
                <w:lang w:eastAsia="en-AU"/>
              </w:rPr>
              <w:t>Section B – If for accepted development subject to requirements other than a material change of use in an existing building and not in the Erosion Prone Area</w:t>
            </w:r>
          </w:p>
        </w:tc>
      </w:tr>
      <w:tr w:rsidR="00ED5083" w:rsidRPr="00ED5083" w:rsidTr="00ED5083">
        <w:trPr>
          <w:trHeight w:val="345"/>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RAD2</w:t>
            </w:r>
          </w:p>
        </w:tc>
        <w:tc>
          <w:tcPr>
            <w:tcW w:w="2913"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ensures that a habitable floor level that is the subject of the development is located, designed and constructed to the flood planning level in </w:t>
            </w:r>
            <w:r w:rsidRPr="00ED5083">
              <w:rPr>
                <w:rFonts w:ascii="Arial" w:eastAsia="Times New Roman" w:hAnsi="Arial" w:cs="Arial"/>
                <w:color w:val="0000FF"/>
                <w:sz w:val="20"/>
                <w:szCs w:val="20"/>
                <w:lang w:eastAsia="en-AU"/>
              </w:rPr>
              <w:t>Table 8.2.1.3</w:t>
            </w:r>
            <w:r w:rsidRPr="00ED5083">
              <w:rPr>
                <w:rFonts w:ascii="Arial" w:eastAsia="Times New Roman" w:hAnsi="Arial" w:cs="Arial"/>
                <w:sz w:val="20"/>
                <w:szCs w:val="20"/>
                <w:lang w:eastAsia="en-AU"/>
              </w:rPr>
              <w:t xml:space="preserve">. </w:t>
            </w:r>
          </w:p>
        </w:tc>
        <w:tc>
          <w:tcPr>
            <w:tcW w:w="899"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rsidTr="00ED5083">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RAD3</w:t>
            </w:r>
          </w:p>
        </w:tc>
        <w:tc>
          <w:tcPr>
            <w:tcW w:w="2913"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for a non-residential building ensures that a finished floor level the subject of the development is located, designed and constructed to the flood planning level in </w:t>
            </w:r>
            <w:hyperlink r:id="rId8" w:anchor="ID-571941-TABLE-8.2.1.3" w:history="1">
              <w:r w:rsidRPr="00ED5083">
                <w:rPr>
                  <w:rFonts w:ascii="Arial" w:eastAsia="Times New Roman" w:hAnsi="Arial" w:cs="Arial"/>
                  <w:color w:val="0000FF"/>
                  <w:sz w:val="20"/>
                  <w:szCs w:val="20"/>
                  <w:lang w:eastAsia="en-AU"/>
                </w:rPr>
                <w:t>Table 8.2.1.3</w:t>
              </w:r>
            </w:hyperlink>
            <w:r w:rsidRPr="00ED5083">
              <w:rPr>
                <w:rFonts w:ascii="Arial" w:eastAsia="Times New Roman" w:hAnsi="Arial" w:cs="Arial"/>
                <w:sz w:val="20"/>
                <w:szCs w:val="20"/>
                <w:lang w:eastAsia="en-AU"/>
              </w:rPr>
              <w:t xml:space="preserve">. </w:t>
            </w:r>
          </w:p>
        </w:tc>
        <w:tc>
          <w:tcPr>
            <w:tcW w:w="899"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rsidTr="00ED5083">
        <w:trPr>
          <w:trHeight w:val="1770"/>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RAD4</w:t>
            </w:r>
          </w:p>
        </w:tc>
        <w:tc>
          <w:tcPr>
            <w:tcW w:w="2913"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ensures that building materials for non-habitable rooms below the flood planning level in </w:t>
            </w:r>
            <w:r w:rsidRPr="00ED5083">
              <w:rPr>
                <w:rFonts w:ascii="Arial" w:eastAsia="Times New Roman" w:hAnsi="Arial" w:cs="Arial"/>
                <w:color w:val="0000FF"/>
                <w:sz w:val="20"/>
                <w:szCs w:val="20"/>
                <w:lang w:eastAsia="en-AU"/>
              </w:rPr>
              <w:t>Table 8.2.1.3</w:t>
            </w:r>
            <w:r w:rsidRPr="00ED5083">
              <w:rPr>
                <w:rFonts w:ascii="Arial" w:eastAsia="Times New Roman" w:hAnsi="Arial" w:cs="Arial"/>
                <w:sz w:val="20"/>
                <w:szCs w:val="20"/>
                <w:lang w:eastAsia="en-AU"/>
              </w:rPr>
              <w:t xml:space="preserve"> have a high water resistance.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06"/>
            </w:tblGrid>
            <w:tr w:rsidR="00ED5083" w:rsidRPr="00ED5083" w:rsidTr="00ED5083">
              <w:trPr>
                <w:tblCellSpacing w:w="15" w:type="dxa"/>
              </w:trPr>
              <w:tc>
                <w:tcPr>
                  <w:tcW w:w="0" w:type="auto"/>
                  <w:vAlign w:val="center"/>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Note - The Queensland Government Fact Sheet ‘Rebuilding after a flood’ provides information about water resilient products and building techniques. Available at </w:t>
                  </w:r>
                  <w:hyperlink r:id="rId9" w:tgtFrame="_blank" w:history="1">
                    <w:r w:rsidRPr="00ED5083">
                      <w:rPr>
                        <w:rFonts w:ascii="Arial" w:eastAsia="Times New Roman" w:hAnsi="Arial" w:cs="Arial"/>
                        <w:color w:val="0000FF"/>
                        <w:sz w:val="20"/>
                        <w:szCs w:val="20"/>
                        <w:lang w:eastAsia="en-AU"/>
                      </w:rPr>
                      <w:t>http://www.hpw.qld.gov.au/SiteCollectionDocuments/WaterResilient ProductsAndBuildingTechniquesForRebuildingAfterAFlood.pdf</w:t>
                    </w:r>
                  </w:hyperlink>
                </w:p>
              </w:tc>
            </w:tr>
          </w:tbl>
          <w:p w:rsidR="00ED5083" w:rsidRPr="00ED5083" w:rsidRDefault="00ED5083" w:rsidP="00ED5083">
            <w:pPr>
              <w:spacing w:before="100" w:beforeAutospacing="1" w:after="100" w:afterAutospacing="1" w:line="240" w:lineRule="auto"/>
              <w:rPr>
                <w:rFonts w:ascii="Arial" w:eastAsia="Times New Roman" w:hAnsi="Arial" w:cs="Arial"/>
                <w:sz w:val="20"/>
                <w:szCs w:val="20"/>
                <w:lang w:eastAsia="en-AU"/>
              </w:rPr>
            </w:pPr>
          </w:p>
        </w:tc>
        <w:tc>
          <w:tcPr>
            <w:tcW w:w="899"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rsidTr="00ED5083">
        <w:trPr>
          <w:trHeight w:val="1350"/>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RAD5</w:t>
            </w:r>
          </w:p>
        </w:tc>
        <w:tc>
          <w:tcPr>
            <w:tcW w:w="2913"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on land below the Flood planning level involving earthworks complies with the requirements of </w:t>
            </w:r>
            <w:hyperlink r:id="rId10" w:anchor="ID-571941-TABLE-8.2.1.4" w:history="1">
              <w:r w:rsidRPr="00ED5083">
                <w:rPr>
                  <w:rFonts w:ascii="Arial" w:eastAsia="Times New Roman" w:hAnsi="Arial" w:cs="Arial"/>
                  <w:color w:val="0000FF"/>
                  <w:sz w:val="20"/>
                  <w:szCs w:val="20"/>
                  <w:lang w:eastAsia="en-AU"/>
                </w:rPr>
                <w:t>Table 8.2.1.4 ‘Fill requirements’</w:t>
              </w:r>
            </w:hyperlink>
            <w:r w:rsidRPr="00ED5083">
              <w:rPr>
                <w:rFonts w:ascii="Arial" w:eastAsia="Times New Roman" w:hAnsi="Arial" w:cs="Arial"/>
                <w:sz w:val="20"/>
                <w:szCs w:val="20"/>
                <w:lang w:eastAsia="en-AU"/>
              </w:rPr>
              <w:t xml:space="preserve"> and does not increase the potential for erosion, scour or flood damage either on the premises or on other premises, public land, watercourses, roads or infrastructure or elsewhere in the floodplain.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06"/>
            </w:tblGrid>
            <w:tr w:rsidR="00ED5083" w:rsidRPr="00ED5083" w:rsidTr="00ED5083">
              <w:trPr>
                <w:tblCellSpacing w:w="15" w:type="dxa"/>
              </w:trPr>
              <w:tc>
                <w:tcPr>
                  <w:tcW w:w="0" w:type="auto"/>
                  <w:vAlign w:val="center"/>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Note - Prior to development occurring, an investigation into the potential impacts of earthworks should be undertaken by a suitably qualified person so that a prospective developer can satisfy themselves the development meets this SAO.  Guidance on the matters to be addressed is provided in Planning scheme policy - Flood hazard, Coastal hazard and Overland flow. </w:t>
                  </w:r>
                </w:p>
              </w:tc>
            </w:tr>
          </w:tbl>
          <w:p w:rsidR="00ED5083" w:rsidRPr="00ED5083" w:rsidRDefault="00ED5083" w:rsidP="00ED5083">
            <w:pPr>
              <w:spacing w:before="100" w:beforeAutospacing="1" w:after="100" w:afterAutospacing="1" w:line="240" w:lineRule="auto"/>
              <w:rPr>
                <w:rFonts w:ascii="Arial" w:eastAsia="Times New Roman" w:hAnsi="Arial" w:cs="Arial"/>
                <w:sz w:val="20"/>
                <w:szCs w:val="20"/>
                <w:lang w:eastAsia="en-AU"/>
              </w:rPr>
            </w:pPr>
          </w:p>
        </w:tc>
        <w:tc>
          <w:tcPr>
            <w:tcW w:w="899"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rsidTr="00ED5083">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lastRenderedPageBreak/>
              <w:t>RAD6</w:t>
            </w:r>
          </w:p>
        </w:tc>
        <w:tc>
          <w:tcPr>
            <w:tcW w:w="2913"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that involves hazardous chemicals ensures the hazardous chemicals are located and stored at or above the flood planning level in </w:t>
            </w:r>
            <w:r w:rsidRPr="00ED5083">
              <w:rPr>
                <w:rFonts w:ascii="Arial" w:eastAsia="Times New Roman" w:hAnsi="Arial" w:cs="Arial"/>
                <w:color w:val="0000FF"/>
                <w:sz w:val="20"/>
                <w:szCs w:val="20"/>
                <w:lang w:eastAsia="en-AU"/>
              </w:rPr>
              <w:t>Table 8.2.1.3</w:t>
            </w:r>
            <w:r w:rsidRPr="00ED5083">
              <w:rPr>
                <w:rFonts w:ascii="Arial" w:eastAsia="Times New Roman" w:hAnsi="Arial" w:cs="Arial"/>
                <w:sz w:val="20"/>
                <w:szCs w:val="20"/>
                <w:lang w:eastAsia="en-AU"/>
              </w:rPr>
              <w:t xml:space="preserve">. </w:t>
            </w:r>
          </w:p>
        </w:tc>
        <w:tc>
          <w:tcPr>
            <w:tcW w:w="899"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rsidTr="00ED5083">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RAD7</w:t>
            </w:r>
          </w:p>
        </w:tc>
        <w:tc>
          <w:tcPr>
            <w:tcW w:w="2913"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for a Park ensures works are provided in accordance with the requirements set out in Appendix B of the Planning scheme policy - Integrated design. </w:t>
            </w:r>
          </w:p>
        </w:tc>
        <w:tc>
          <w:tcPr>
            <w:tcW w:w="899"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rsidTr="00ED5083">
        <w:trPr>
          <w:trHeight w:val="1440"/>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RAD8</w:t>
            </w:r>
          </w:p>
        </w:tc>
        <w:tc>
          <w:tcPr>
            <w:tcW w:w="2913"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ensures that an essential electrical service is located above the flood planning level in </w:t>
            </w:r>
            <w:r w:rsidRPr="00ED5083">
              <w:rPr>
                <w:rFonts w:ascii="Arial" w:eastAsia="Times New Roman" w:hAnsi="Arial" w:cs="Arial"/>
                <w:color w:val="0000FF"/>
                <w:sz w:val="20"/>
                <w:szCs w:val="20"/>
                <w:lang w:eastAsia="en-AU"/>
              </w:rPr>
              <w:t>Table 8.2.1.3</w:t>
            </w:r>
            <w:r w:rsidRPr="00ED5083">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06"/>
            </w:tblGrid>
            <w:tr w:rsidR="00ED5083" w:rsidRPr="00ED5083" w:rsidTr="00ED5083">
              <w:trPr>
                <w:tblCellSpacing w:w="15" w:type="dxa"/>
              </w:trPr>
              <w:tc>
                <w:tcPr>
                  <w:tcW w:w="0" w:type="auto"/>
                  <w:vAlign w:val="center"/>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Note - An essential electrical service includes services defined as utilities and customer dedicated substation in Mandatory Part 3.5 – Construction of buildings in flood hazard areas of the Queensland Development Code. </w:t>
                  </w:r>
                </w:p>
              </w:tc>
            </w:tr>
          </w:tbl>
          <w:p w:rsidR="00ED5083" w:rsidRPr="00ED5083" w:rsidRDefault="00ED5083" w:rsidP="00ED5083">
            <w:pPr>
              <w:spacing w:before="100" w:beforeAutospacing="1" w:after="100" w:afterAutospacing="1" w:line="240" w:lineRule="auto"/>
              <w:rPr>
                <w:rFonts w:ascii="Arial" w:eastAsia="Times New Roman" w:hAnsi="Arial" w:cs="Arial"/>
                <w:sz w:val="20"/>
                <w:szCs w:val="20"/>
                <w:lang w:eastAsia="en-AU"/>
              </w:rPr>
            </w:pPr>
          </w:p>
        </w:tc>
        <w:tc>
          <w:tcPr>
            <w:tcW w:w="899"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rsidTr="00ED5083">
        <w:trPr>
          <w:trHeight w:val="15"/>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RAD9</w:t>
            </w:r>
          </w:p>
        </w:tc>
        <w:tc>
          <w:tcPr>
            <w:tcW w:w="2913"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for an Advertising device is located, designed and constructed to resist the hydrostatic and hydrodynamic forces as a result of inundation by the Defined Flood Event. </w:t>
            </w:r>
          </w:p>
        </w:tc>
        <w:tc>
          <w:tcPr>
            <w:tcW w:w="899"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rsidTr="00ED5083">
        <w:trPr>
          <w:trHeight w:val="1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b/>
                <w:bCs/>
                <w:sz w:val="20"/>
                <w:szCs w:val="20"/>
                <w:lang w:eastAsia="en-AU"/>
              </w:rPr>
            </w:pPr>
            <w:r w:rsidRPr="00ED5083">
              <w:rPr>
                <w:rFonts w:ascii="Arial" w:eastAsia="Times New Roman" w:hAnsi="Arial" w:cs="Arial"/>
                <w:b/>
                <w:bCs/>
                <w:sz w:val="20"/>
                <w:szCs w:val="20"/>
                <w:lang w:eastAsia="en-AU"/>
              </w:rPr>
              <w:t>Section C – If for accepted development subject to requirements in the Erosion Prone Area only</w:t>
            </w:r>
          </w:p>
        </w:tc>
      </w:tr>
      <w:tr w:rsidR="00ED5083" w:rsidRPr="00ED5083" w:rsidTr="00ED5083">
        <w:trPr>
          <w:trHeight w:val="15"/>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RAD10</w:t>
            </w:r>
          </w:p>
        </w:tc>
        <w:tc>
          <w:tcPr>
            <w:tcW w:w="2913" w:type="pct"/>
            <w:tcBorders>
              <w:top w:val="outset" w:sz="6" w:space="0" w:color="auto"/>
              <w:left w:val="outset" w:sz="6" w:space="0" w:color="auto"/>
              <w:bottom w:val="outset" w:sz="6" w:space="0" w:color="auto"/>
              <w:right w:val="outset" w:sz="6" w:space="0" w:color="auto"/>
            </w:tcBorders>
            <w:hideMark/>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is located outside the Erosion Prone Area, or otherwise does not extend any further seaward than existing immediately adjacent buildings. </w:t>
            </w:r>
          </w:p>
        </w:tc>
        <w:tc>
          <w:tcPr>
            <w:tcW w:w="899"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bl>
    <w:p w:rsidR="00641E2E" w:rsidRDefault="00641E2E" w:rsidP="00ED5083">
      <w:pPr>
        <w:spacing w:before="100" w:beforeAutospacing="1" w:after="100" w:afterAutospacing="1" w:line="240" w:lineRule="auto"/>
        <w:rPr>
          <w:rFonts w:ascii="Arial" w:hAnsi="Arial" w:cs="Arial"/>
          <w:sz w:val="20"/>
          <w:szCs w:val="20"/>
        </w:rPr>
      </w:pPr>
    </w:p>
    <w:p w:rsidR="007B198E" w:rsidRDefault="007B198E">
      <w:r>
        <w:br w:type="page"/>
      </w:r>
    </w:p>
    <w:p w:rsidR="007B198E" w:rsidRDefault="007B198E" w:rsidP="007B198E">
      <w:bookmarkStart w:id="0" w:name="_GoBack"/>
      <w:bookmarkEnd w:id="0"/>
    </w:p>
    <w:tbl>
      <w:tblPr>
        <w:tblW w:w="4985" w:type="pct"/>
        <w:tblCellSpacing w:w="15" w:type="dxa"/>
        <w:tblInd w:w="4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582"/>
        <w:gridCol w:w="3661"/>
        <w:gridCol w:w="7093"/>
      </w:tblGrid>
      <w:tr w:rsidR="007B198E" w:rsidRPr="00C90FC5" w:rsidTr="00C11FB1">
        <w:trPr>
          <w:tblCellSpacing w:w="15" w:type="dxa"/>
        </w:trPr>
        <w:tc>
          <w:tcPr>
            <w:tcW w:w="4980" w:type="pct"/>
            <w:gridSpan w:val="3"/>
            <w:tcBorders>
              <w:top w:val="nil"/>
              <w:left w:val="nil"/>
              <w:bottom w:val="nil"/>
              <w:right w:val="nil"/>
            </w:tcBorders>
            <w:shd w:val="clear" w:color="auto" w:fill="CCCCCC"/>
            <w:vAlign w:val="center"/>
            <w:hideMark/>
          </w:tcPr>
          <w:p w:rsidR="007B198E" w:rsidRPr="00C90FC5" w:rsidRDefault="007B198E" w:rsidP="00C11FB1">
            <w:pPr>
              <w:spacing w:before="100" w:beforeAutospacing="1" w:after="100" w:afterAutospacing="1" w:line="240" w:lineRule="auto"/>
              <w:jc w:val="center"/>
              <w:rPr>
                <w:rFonts w:ascii="Arial" w:eastAsia="Times New Roman" w:hAnsi="Arial" w:cs="Arial"/>
                <w:sz w:val="20"/>
                <w:szCs w:val="20"/>
                <w:lang w:eastAsia="en-AU"/>
              </w:rPr>
            </w:pPr>
            <w:r w:rsidRPr="00C90FC5">
              <w:rPr>
                <w:rFonts w:ascii="Arial" w:eastAsia="Times New Roman" w:hAnsi="Arial" w:cs="Arial"/>
                <w:b/>
                <w:bCs/>
                <w:sz w:val="20"/>
                <w:szCs w:val="20"/>
                <w:lang w:eastAsia="en-AU"/>
              </w:rPr>
              <w:t>Table 8.2.1.3 Flood planning level for a habitable floor (residential development) and a non-habitable floor (non-residential development) and levels for hazardous chemicals</w:t>
            </w:r>
          </w:p>
        </w:tc>
      </w:tr>
      <w:tr w:rsidR="007B198E" w:rsidRPr="00C90FC5" w:rsidTr="00C11FB1">
        <w:trPr>
          <w:tblCellSpacing w:w="15" w:type="dxa"/>
        </w:trPr>
        <w:tc>
          <w:tcPr>
            <w:tcW w:w="1485"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Coastal planning area</w:t>
            </w:r>
          </w:p>
        </w:tc>
        <w:tc>
          <w:tcPr>
            <w:tcW w:w="1188"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Defined freeboard</w:t>
            </w:r>
          </w:p>
        </w:tc>
        <w:tc>
          <w:tcPr>
            <w:tcW w:w="2287"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Flood planning level</w:t>
            </w:r>
          </w:p>
        </w:tc>
      </w:tr>
      <w:tr w:rsidR="007B198E" w:rsidRPr="00C90FC5" w:rsidTr="00C11FB1">
        <w:trPr>
          <w:tblCellSpacing w:w="15" w:type="dxa"/>
        </w:trPr>
        <w:tc>
          <w:tcPr>
            <w:tcW w:w="1485" w:type="pct"/>
            <w:tcBorders>
              <w:top w:val="outset" w:sz="6" w:space="0" w:color="auto"/>
              <w:left w:val="outset" w:sz="6" w:space="0" w:color="auto"/>
              <w:bottom w:val="outset" w:sz="6" w:space="0" w:color="auto"/>
              <w:right w:val="outset" w:sz="6" w:space="0" w:color="auto"/>
            </w:tcBorders>
            <w:vAlign w:val="center"/>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Coastal planning area which is outside the Erosion Prone Area.</w:t>
            </w:r>
          </w:p>
        </w:tc>
        <w:tc>
          <w:tcPr>
            <w:tcW w:w="1188" w:type="pct"/>
            <w:tcBorders>
              <w:top w:val="outset" w:sz="6" w:space="0" w:color="auto"/>
              <w:left w:val="outset" w:sz="6" w:space="0" w:color="auto"/>
              <w:bottom w:val="outset" w:sz="6" w:space="0" w:color="auto"/>
              <w:right w:val="outset" w:sz="6" w:space="0" w:color="auto"/>
            </w:tcBorders>
            <w:hideMark/>
          </w:tcPr>
          <w:p w:rsidR="007B198E" w:rsidRPr="00C90FC5" w:rsidRDefault="007B198E" w:rsidP="00C11FB1">
            <w:pPr>
              <w:spacing w:before="100" w:beforeAutospacing="1" w:after="100" w:afterAutospacing="1" w:line="240" w:lineRule="auto"/>
              <w:ind w:left="150" w:right="150"/>
              <w:jc w:val="center"/>
              <w:rPr>
                <w:rFonts w:ascii="Arial" w:eastAsia="Times New Roman" w:hAnsi="Arial" w:cs="Arial"/>
                <w:sz w:val="20"/>
                <w:szCs w:val="20"/>
                <w:lang w:eastAsia="en-AU"/>
              </w:rPr>
            </w:pPr>
            <w:r w:rsidRPr="00C90FC5">
              <w:rPr>
                <w:rFonts w:ascii="Arial" w:eastAsia="Times New Roman" w:hAnsi="Arial" w:cs="Arial"/>
                <w:sz w:val="20"/>
                <w:szCs w:val="20"/>
                <w:lang w:eastAsia="en-AU"/>
              </w:rPr>
              <w:t>300mm</w:t>
            </w:r>
          </w:p>
        </w:tc>
        <w:tc>
          <w:tcPr>
            <w:tcW w:w="2287" w:type="pct"/>
            <w:tcBorders>
              <w:top w:val="outset" w:sz="6" w:space="0" w:color="auto"/>
              <w:left w:val="outset" w:sz="6" w:space="0" w:color="auto"/>
              <w:bottom w:val="outset" w:sz="6" w:space="0" w:color="auto"/>
              <w:right w:val="outset" w:sz="6" w:space="0" w:color="auto"/>
            </w:tcBorders>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Defined Flood Event + 300mm</w:t>
            </w:r>
          </w:p>
        </w:tc>
      </w:tr>
      <w:tr w:rsidR="007B198E" w:rsidRPr="00C90FC5" w:rsidTr="00C11FB1">
        <w:trPr>
          <w:tblCellSpacing w:w="15" w:type="dxa"/>
        </w:trPr>
        <w:tc>
          <w:tcPr>
            <w:tcW w:w="1485" w:type="pct"/>
            <w:tcBorders>
              <w:top w:val="outset" w:sz="6" w:space="0" w:color="auto"/>
              <w:left w:val="outset" w:sz="6" w:space="0" w:color="auto"/>
              <w:bottom w:val="outset" w:sz="6" w:space="0" w:color="auto"/>
              <w:right w:val="outset" w:sz="6" w:space="0" w:color="auto"/>
            </w:tcBorders>
            <w:vAlign w:val="center"/>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Coastal planning area which is in the Erosion Prone Area.</w:t>
            </w:r>
          </w:p>
        </w:tc>
        <w:tc>
          <w:tcPr>
            <w:tcW w:w="1188" w:type="pct"/>
            <w:tcBorders>
              <w:top w:val="outset" w:sz="6" w:space="0" w:color="auto"/>
              <w:left w:val="outset" w:sz="6" w:space="0" w:color="auto"/>
              <w:bottom w:val="outset" w:sz="6" w:space="0" w:color="auto"/>
              <w:right w:val="outset" w:sz="6" w:space="0" w:color="auto"/>
            </w:tcBorders>
            <w:hideMark/>
          </w:tcPr>
          <w:p w:rsidR="007B198E" w:rsidRPr="00C90FC5" w:rsidRDefault="007B198E" w:rsidP="00C11FB1">
            <w:pPr>
              <w:spacing w:before="100" w:beforeAutospacing="1" w:after="100" w:afterAutospacing="1" w:line="240" w:lineRule="auto"/>
              <w:ind w:left="150" w:right="150"/>
              <w:jc w:val="center"/>
              <w:rPr>
                <w:rFonts w:ascii="Arial" w:eastAsia="Times New Roman" w:hAnsi="Arial" w:cs="Arial"/>
                <w:sz w:val="20"/>
                <w:szCs w:val="20"/>
                <w:lang w:eastAsia="en-AU"/>
              </w:rPr>
            </w:pPr>
            <w:r w:rsidRPr="00C90FC5">
              <w:rPr>
                <w:rFonts w:ascii="Arial" w:eastAsia="Times New Roman" w:hAnsi="Arial" w:cs="Arial"/>
                <w:sz w:val="20"/>
                <w:szCs w:val="20"/>
                <w:lang w:eastAsia="en-AU"/>
              </w:rPr>
              <w:t>500mm</w:t>
            </w:r>
          </w:p>
        </w:tc>
        <w:tc>
          <w:tcPr>
            <w:tcW w:w="2287" w:type="pct"/>
            <w:tcBorders>
              <w:top w:val="outset" w:sz="6" w:space="0" w:color="auto"/>
              <w:left w:val="outset" w:sz="6" w:space="0" w:color="auto"/>
              <w:bottom w:val="outset" w:sz="6" w:space="0" w:color="auto"/>
              <w:right w:val="outset" w:sz="6" w:space="0" w:color="auto"/>
            </w:tcBorders>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Defined Flood Event + 500mm</w:t>
            </w:r>
          </w:p>
        </w:tc>
      </w:tr>
    </w:tbl>
    <w:p w:rsidR="007B198E" w:rsidRPr="00C90FC5" w:rsidRDefault="007B198E" w:rsidP="007B198E">
      <w:pPr>
        <w:shd w:val="clear" w:color="auto" w:fill="FFFFFF"/>
        <w:spacing w:before="100" w:beforeAutospacing="1" w:after="100" w:afterAutospacing="1" w:line="240" w:lineRule="auto"/>
        <w:rPr>
          <w:rFonts w:ascii="Arial" w:eastAsia="Times New Roman" w:hAnsi="Arial" w:cs="Arial"/>
          <w:vanish/>
          <w:sz w:val="20"/>
          <w:szCs w:val="20"/>
          <w:lang w:eastAsia="en-AU"/>
        </w:rPr>
      </w:pPr>
    </w:p>
    <w:tbl>
      <w:tblPr>
        <w:tblW w:w="4990" w:type="pct"/>
        <w:tblCellSpacing w:w="15" w:type="dxa"/>
        <w:tblInd w:w="16" w:type="dxa"/>
        <w:tblCellMar>
          <w:top w:w="30" w:type="dxa"/>
          <w:left w:w="30" w:type="dxa"/>
          <w:bottom w:w="30" w:type="dxa"/>
          <w:right w:w="30" w:type="dxa"/>
        </w:tblCellMar>
        <w:tblLook w:val="04A0" w:firstRow="1" w:lastRow="0" w:firstColumn="1" w:lastColumn="0" w:noHBand="0" w:noVBand="1"/>
        <w:tblDescription w:val=""/>
      </w:tblPr>
      <w:tblGrid>
        <w:gridCol w:w="15367"/>
      </w:tblGrid>
      <w:tr w:rsidR="007B198E" w:rsidRPr="00C90FC5" w:rsidTr="00C11FB1">
        <w:trPr>
          <w:tblCellSpacing w:w="15" w:type="dxa"/>
        </w:trPr>
        <w:tc>
          <w:tcPr>
            <w:tcW w:w="0" w:type="auto"/>
            <w:vAlign w:val="center"/>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If the premises is subject to another overlay which states a flood planning level, the flood planning level that provides the highest level of immunity applies. </w:t>
            </w:r>
          </w:p>
        </w:tc>
      </w:tr>
    </w:tbl>
    <w:p w:rsidR="007B198E" w:rsidRDefault="007B198E" w:rsidP="007B198E"/>
    <w:p w:rsidR="007B198E" w:rsidRDefault="007B198E" w:rsidP="007B198E"/>
    <w:p w:rsidR="007B198E" w:rsidRDefault="007B198E" w:rsidP="007B198E"/>
    <w:tbl>
      <w:tblPr>
        <w:tblW w:w="4961" w:type="pct"/>
        <w:tblCellSpacing w:w="15" w:type="dxa"/>
        <w:tblInd w:w="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7400"/>
        <w:gridCol w:w="7862"/>
      </w:tblGrid>
      <w:tr w:rsidR="007B198E" w:rsidRPr="00C90FC5" w:rsidTr="00C11FB1">
        <w:trPr>
          <w:tblCellSpacing w:w="15" w:type="dxa"/>
        </w:trPr>
        <w:tc>
          <w:tcPr>
            <w:tcW w:w="0" w:type="auto"/>
            <w:gridSpan w:val="2"/>
            <w:tcBorders>
              <w:top w:val="nil"/>
              <w:left w:val="nil"/>
              <w:bottom w:val="nil"/>
              <w:right w:val="nil"/>
            </w:tcBorders>
            <w:shd w:val="clear" w:color="auto" w:fill="CCCCCC"/>
            <w:tcMar>
              <w:top w:w="30" w:type="dxa"/>
              <w:left w:w="30" w:type="dxa"/>
              <w:bottom w:w="30" w:type="dxa"/>
              <w:right w:w="30" w:type="dxa"/>
            </w:tcMar>
            <w:vAlign w:val="center"/>
            <w:hideMark/>
          </w:tcPr>
          <w:p w:rsidR="007B198E" w:rsidRPr="00C90FC5" w:rsidRDefault="007B198E" w:rsidP="00C11FB1">
            <w:pPr>
              <w:spacing w:before="100" w:beforeAutospacing="1" w:after="100" w:afterAutospacing="1" w:line="240" w:lineRule="auto"/>
              <w:jc w:val="center"/>
              <w:rPr>
                <w:rFonts w:ascii="Arial" w:eastAsia="Times New Roman" w:hAnsi="Arial" w:cs="Arial"/>
                <w:sz w:val="20"/>
                <w:szCs w:val="20"/>
                <w:lang w:eastAsia="en-AU"/>
              </w:rPr>
            </w:pPr>
            <w:r w:rsidRPr="00C90FC5">
              <w:rPr>
                <w:rFonts w:ascii="Arial" w:eastAsia="Times New Roman" w:hAnsi="Arial" w:cs="Arial"/>
                <w:b/>
                <w:bCs/>
                <w:sz w:val="20"/>
                <w:szCs w:val="20"/>
                <w:lang w:eastAsia="en-AU"/>
              </w:rPr>
              <w:t>Table 8.2.1.4 Fill requirements</w:t>
            </w:r>
          </w:p>
        </w:tc>
      </w:tr>
      <w:tr w:rsidR="007B198E" w:rsidRPr="00C90FC5" w:rsidTr="00C11FB1">
        <w:trPr>
          <w:tblCellSpacing w:w="15" w:type="dxa"/>
        </w:trPr>
        <w:tc>
          <w:tcPr>
            <w:tcW w:w="241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Coastal planning area</w:t>
            </w:r>
          </w:p>
        </w:tc>
        <w:tc>
          <w:tcPr>
            <w:tcW w:w="256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Fill level</w:t>
            </w:r>
          </w:p>
        </w:tc>
      </w:tr>
      <w:tr w:rsidR="007B198E" w:rsidRPr="00C90FC5" w:rsidTr="00C11FB1">
        <w:trPr>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Erosion Prone Area.</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c>
      </w:tr>
      <w:tr w:rsidR="007B198E" w:rsidRPr="00C90FC5" w:rsidTr="00C11FB1">
        <w:trPr>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High risk storm tide inundation area included in the Limited development zone.</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c>
      </w:tr>
      <w:tr w:rsidR="007B198E" w:rsidRPr="00C90FC5" w:rsidTr="00C11FB1">
        <w:trPr>
          <w:trHeight w:val="900"/>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High risk storm tide inundation area not included in the Limited development zone.</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727"/>
            </w:tblGrid>
            <w:tr w:rsidR="007B198E" w:rsidRPr="00C90FC5" w:rsidTr="00C11FB1">
              <w:trPr>
                <w:tblCellSpacing w:w="15" w:type="dxa"/>
              </w:trPr>
              <w:tc>
                <w:tcPr>
                  <w:tcW w:w="0" w:type="auto"/>
                  <w:vAlign w:val="center"/>
                  <w:hideMark/>
                </w:tcPr>
                <w:p w:rsidR="007B198E" w:rsidRPr="00C90FC5" w:rsidRDefault="007B198E" w:rsidP="00C11FB1">
                  <w:pPr>
                    <w:spacing w:before="100" w:beforeAutospacing="1" w:after="100" w:afterAutospacing="1" w:line="240" w:lineRule="auto"/>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In isolated areas of High risk storm tide inundation and storm tide maximum flow velocity is less than 0.5 metres per second, filling may be permitted. </w:t>
                  </w:r>
                </w:p>
              </w:tc>
            </w:tr>
          </w:tbl>
          <w:p w:rsidR="007B198E" w:rsidRPr="00C90FC5" w:rsidRDefault="007B198E" w:rsidP="00C11FB1">
            <w:pPr>
              <w:spacing w:before="100" w:beforeAutospacing="1" w:after="100" w:afterAutospacing="1" w:line="240" w:lineRule="auto"/>
              <w:rPr>
                <w:rFonts w:ascii="Arial" w:eastAsia="Times New Roman" w:hAnsi="Arial" w:cs="Arial"/>
                <w:sz w:val="20"/>
                <w:szCs w:val="20"/>
                <w:lang w:eastAsia="en-AU"/>
              </w:rPr>
            </w:pPr>
          </w:p>
        </w:tc>
      </w:tr>
      <w:tr w:rsidR="007B198E" w:rsidRPr="00C90FC5" w:rsidTr="00C11FB1">
        <w:trPr>
          <w:tblCellSpacing w:w="15" w:type="dxa"/>
        </w:trPr>
        <w:tc>
          <w:tcPr>
            <w:tcW w:w="2410" w:type="pct"/>
            <w:tcBorders>
              <w:top w:val="outset" w:sz="6" w:space="0" w:color="auto"/>
              <w:left w:val="outset" w:sz="6" w:space="0" w:color="auto"/>
              <w:bottom w:val="outset" w:sz="6" w:space="0" w:color="auto"/>
              <w:right w:val="outset" w:sz="6" w:space="0" w:color="auto"/>
            </w:tcBorders>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Medium risk storm tide inundation area.</w:t>
            </w:r>
          </w:p>
        </w:tc>
        <w:tc>
          <w:tcPr>
            <w:tcW w:w="2561" w:type="pct"/>
            <w:tcBorders>
              <w:top w:val="outset" w:sz="6" w:space="0" w:color="auto"/>
              <w:left w:val="outset" w:sz="6" w:space="0" w:color="auto"/>
              <w:bottom w:val="outset" w:sz="6" w:space="0" w:color="auto"/>
              <w:right w:val="outset" w:sz="6" w:space="0" w:color="auto"/>
            </w:tcBorders>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Filling permitted - Development Footprint as a minimum to the Year 2100 Highest Astronomical Tide level.</w:t>
            </w:r>
          </w:p>
        </w:tc>
      </w:tr>
      <w:tr w:rsidR="007B198E" w:rsidRPr="00C90FC5" w:rsidTr="00C11FB1">
        <w:trPr>
          <w:tblCellSpacing w:w="15" w:type="dxa"/>
        </w:trPr>
        <w:tc>
          <w:tcPr>
            <w:tcW w:w="2410" w:type="pct"/>
            <w:tcBorders>
              <w:top w:val="outset" w:sz="6" w:space="0" w:color="auto"/>
              <w:left w:val="outset" w:sz="6" w:space="0" w:color="auto"/>
              <w:bottom w:val="outset" w:sz="6" w:space="0" w:color="auto"/>
              <w:right w:val="outset" w:sz="6" w:space="0" w:color="auto"/>
            </w:tcBorders>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Balance area of the Coastal planning area.</w:t>
            </w:r>
          </w:p>
        </w:tc>
        <w:tc>
          <w:tcPr>
            <w:tcW w:w="2561" w:type="pct"/>
            <w:tcBorders>
              <w:top w:val="outset" w:sz="6" w:space="0" w:color="auto"/>
              <w:left w:val="outset" w:sz="6" w:space="0" w:color="auto"/>
              <w:bottom w:val="outset" w:sz="6" w:space="0" w:color="auto"/>
              <w:right w:val="outset" w:sz="6" w:space="0" w:color="auto"/>
            </w:tcBorders>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Filling required - Development Footprint as a minimum to the Defined Flood Event.</w:t>
            </w:r>
          </w:p>
        </w:tc>
      </w:tr>
    </w:tbl>
    <w:p w:rsidR="007B198E" w:rsidRPr="00C90FC5" w:rsidRDefault="007B198E" w:rsidP="007B198E">
      <w:pPr>
        <w:shd w:val="clear" w:color="auto" w:fill="FFFFFF"/>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7B198E" w:rsidRPr="00C90FC5" w:rsidTr="00C11FB1">
        <w:trPr>
          <w:tblCellSpacing w:w="15" w:type="dxa"/>
        </w:trPr>
        <w:tc>
          <w:tcPr>
            <w:tcW w:w="0" w:type="auto"/>
            <w:vAlign w:val="center"/>
            <w:hideMark/>
          </w:tcPr>
          <w:p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Note - The Year 2100 Highest Astronomical Tide level is available on Council's Flood Check website via https://www.moretonbay.qld.gov.au/floodcheck/.</w:t>
            </w:r>
          </w:p>
        </w:tc>
      </w:tr>
    </w:tbl>
    <w:p w:rsidR="007B198E" w:rsidRPr="00C90FC5" w:rsidRDefault="007B198E" w:rsidP="007B198E">
      <w:pPr>
        <w:spacing w:before="100" w:beforeAutospacing="1" w:after="100" w:afterAutospacing="1" w:line="240" w:lineRule="auto"/>
        <w:rPr>
          <w:rFonts w:ascii="Arial" w:hAnsi="Arial" w:cs="Arial"/>
          <w:sz w:val="20"/>
          <w:szCs w:val="20"/>
        </w:rPr>
      </w:pPr>
    </w:p>
    <w:p w:rsidR="007B198E" w:rsidRDefault="007B198E" w:rsidP="00ED5083">
      <w:pPr>
        <w:spacing w:before="100" w:beforeAutospacing="1" w:after="100" w:afterAutospacing="1" w:line="240" w:lineRule="auto"/>
        <w:rPr>
          <w:rFonts w:ascii="Arial" w:hAnsi="Arial" w:cs="Arial"/>
          <w:sz w:val="20"/>
          <w:szCs w:val="20"/>
        </w:rPr>
      </w:pPr>
    </w:p>
    <w:p w:rsidR="007B198E" w:rsidRPr="00ED5083" w:rsidRDefault="007B198E" w:rsidP="00ED5083">
      <w:pPr>
        <w:spacing w:before="100" w:beforeAutospacing="1" w:after="100" w:afterAutospacing="1" w:line="240" w:lineRule="auto"/>
        <w:rPr>
          <w:rFonts w:ascii="Arial" w:hAnsi="Arial" w:cs="Arial"/>
          <w:sz w:val="20"/>
          <w:szCs w:val="20"/>
        </w:rPr>
      </w:pPr>
    </w:p>
    <w:sectPr w:rsidR="007B198E" w:rsidRPr="00ED5083" w:rsidSect="00ED5083">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BBD" w:rsidRDefault="00FE0BBD" w:rsidP="00ED5083">
      <w:pPr>
        <w:spacing w:after="0" w:line="240" w:lineRule="auto"/>
      </w:pPr>
      <w:r>
        <w:separator/>
      </w:r>
    </w:p>
  </w:endnote>
  <w:endnote w:type="continuationSeparator" w:id="0">
    <w:p w:rsidR="00FE0BBD" w:rsidRDefault="00FE0BBD" w:rsidP="00ED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ED5083" w:rsidRPr="00ED5083" w:rsidRDefault="00ED5083" w:rsidP="00ED5083">
        <w:pPr>
          <w:pStyle w:val="Footer"/>
          <w:jc w:val="right"/>
          <w:rPr>
            <w:rFonts w:ascii="Arial" w:hAnsi="Arial" w:cs="Arial"/>
            <w:i/>
            <w:sz w:val="20"/>
            <w:szCs w:val="20"/>
          </w:rPr>
        </w:pPr>
        <w:r w:rsidRPr="00F65D35">
          <w:rPr>
            <w:rFonts w:ascii="Arial" w:hAnsi="Arial" w:cs="Arial"/>
            <w:i/>
            <w:sz w:val="20"/>
            <w:szCs w:val="20"/>
          </w:rPr>
          <w:t xml:space="preserve">MBRC Planning Scheme - </w:t>
        </w:r>
        <w:r>
          <w:rPr>
            <w:rFonts w:ascii="Arial" w:hAnsi="Arial" w:cs="Arial"/>
            <w:i/>
            <w:sz w:val="20"/>
            <w:szCs w:val="20"/>
          </w:rPr>
          <w:t>Overlay code - Coastal hazard - Requirements for accepted development</w:t>
        </w:r>
        <w:r w:rsidRPr="00F65D35">
          <w:rPr>
            <w:rFonts w:ascii="Arial" w:hAnsi="Arial" w:cs="Arial"/>
            <w:i/>
            <w:sz w:val="20"/>
            <w:szCs w:val="20"/>
          </w:rPr>
          <w:t xml:space="preserve"> - </w:t>
        </w:r>
        <w:r>
          <w:rPr>
            <w:rFonts w:ascii="Arial" w:hAnsi="Arial" w:cs="Arial"/>
            <w:i/>
            <w:sz w:val="20"/>
            <w:szCs w:val="20"/>
          </w:rPr>
          <w:t>3 July 2017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sidR="007B198E">
          <w:rPr>
            <w:rFonts w:ascii="Arial" w:hAnsi="Arial" w:cs="Arial"/>
            <w:noProof/>
            <w:sz w:val="20"/>
            <w:szCs w:val="20"/>
          </w:rPr>
          <w:t>3</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BBD" w:rsidRDefault="00FE0BBD" w:rsidP="00ED5083">
      <w:pPr>
        <w:spacing w:after="0" w:line="240" w:lineRule="auto"/>
      </w:pPr>
      <w:r>
        <w:separator/>
      </w:r>
    </w:p>
  </w:footnote>
  <w:footnote w:type="continuationSeparator" w:id="0">
    <w:p w:rsidR="00FE0BBD" w:rsidRDefault="00FE0BBD" w:rsidP="00ED5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83"/>
    <w:rsid w:val="004E0E41"/>
    <w:rsid w:val="00562482"/>
    <w:rsid w:val="00641E2E"/>
    <w:rsid w:val="007B198E"/>
    <w:rsid w:val="00ED5083"/>
    <w:rsid w:val="00FE0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6E8A96-7575-4F38-9CFB-360897E9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5083"/>
    <w:rPr>
      <w:b/>
      <w:bCs/>
    </w:rPr>
  </w:style>
  <w:style w:type="paragraph" w:styleId="ListParagraph">
    <w:name w:val="List Paragraph"/>
    <w:basedOn w:val="Normal"/>
    <w:uiPriority w:val="34"/>
    <w:qFormat/>
    <w:rsid w:val="00ED5083"/>
    <w:pPr>
      <w:spacing w:after="200" w:line="276" w:lineRule="auto"/>
      <w:ind w:left="720"/>
      <w:contextualSpacing/>
    </w:pPr>
    <w:rPr>
      <w:rFonts w:ascii="Arial" w:hAnsi="Arial"/>
    </w:rPr>
  </w:style>
  <w:style w:type="paragraph" w:styleId="Header">
    <w:name w:val="header"/>
    <w:basedOn w:val="Normal"/>
    <w:link w:val="HeaderChar"/>
    <w:uiPriority w:val="99"/>
    <w:unhideWhenUsed/>
    <w:rsid w:val="00ED5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083"/>
  </w:style>
  <w:style w:type="paragraph" w:styleId="Footer">
    <w:name w:val="footer"/>
    <w:basedOn w:val="Normal"/>
    <w:link w:val="FooterChar"/>
    <w:uiPriority w:val="99"/>
    <w:unhideWhenUsed/>
    <w:rsid w:val="00ED5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66963">
      <w:bodyDiv w:val="1"/>
      <w:marLeft w:val="0"/>
      <w:marRight w:val="0"/>
      <w:marTop w:val="0"/>
      <w:marBottom w:val="0"/>
      <w:divBdr>
        <w:top w:val="none" w:sz="0" w:space="0" w:color="auto"/>
        <w:left w:val="none" w:sz="0" w:space="0" w:color="auto"/>
        <w:bottom w:val="none" w:sz="0" w:space="0" w:color="auto"/>
        <w:right w:val="none" w:sz="0" w:space="0" w:color="auto"/>
      </w:divBdr>
      <w:divsChild>
        <w:div w:id="2139446933">
          <w:marLeft w:val="0"/>
          <w:marRight w:val="0"/>
          <w:marTop w:val="0"/>
          <w:marBottom w:val="0"/>
          <w:divBdr>
            <w:top w:val="none" w:sz="0" w:space="0" w:color="auto"/>
            <w:left w:val="none" w:sz="0" w:space="0" w:color="auto"/>
            <w:bottom w:val="none" w:sz="0" w:space="0" w:color="auto"/>
            <w:right w:val="none" w:sz="0" w:space="0" w:color="auto"/>
          </w:divBdr>
          <w:divsChild>
            <w:div w:id="662196309">
              <w:marLeft w:val="0"/>
              <w:marRight w:val="0"/>
              <w:marTop w:val="150"/>
              <w:marBottom w:val="0"/>
              <w:divBdr>
                <w:top w:val="none" w:sz="0" w:space="0" w:color="auto"/>
                <w:left w:val="none" w:sz="0" w:space="0" w:color="auto"/>
                <w:bottom w:val="none" w:sz="0" w:space="0" w:color="auto"/>
                <w:right w:val="none" w:sz="0" w:space="0" w:color="auto"/>
              </w:divBdr>
              <w:divsChild>
                <w:div w:id="1359887896">
                  <w:marLeft w:val="3300"/>
                  <w:marRight w:val="0"/>
                  <w:marTop w:val="0"/>
                  <w:marBottom w:val="0"/>
                  <w:divBdr>
                    <w:top w:val="none" w:sz="0" w:space="0" w:color="auto"/>
                    <w:left w:val="none" w:sz="0" w:space="0" w:color="auto"/>
                    <w:bottom w:val="none" w:sz="0" w:space="0" w:color="auto"/>
                    <w:right w:val="none" w:sz="0" w:space="0" w:color="auto"/>
                  </w:divBdr>
                  <w:divsChild>
                    <w:div w:id="832792592">
                      <w:marLeft w:val="0"/>
                      <w:marRight w:val="0"/>
                      <w:marTop w:val="0"/>
                      <w:marBottom w:val="0"/>
                      <w:divBdr>
                        <w:top w:val="single" w:sz="6" w:space="7" w:color="A8A8A8"/>
                        <w:left w:val="single" w:sz="2" w:space="14" w:color="A8A8A8"/>
                        <w:bottom w:val="single" w:sz="6" w:space="7" w:color="A8A8A8"/>
                        <w:right w:val="single" w:sz="2" w:space="14" w:color="A8A8A8"/>
                      </w:divBdr>
                      <w:divsChild>
                        <w:div w:id="762914073">
                          <w:marLeft w:val="0"/>
                          <w:marRight w:val="0"/>
                          <w:marTop w:val="0"/>
                          <w:marBottom w:val="0"/>
                          <w:divBdr>
                            <w:top w:val="none" w:sz="0" w:space="0" w:color="auto"/>
                            <w:left w:val="none" w:sz="0" w:space="0" w:color="auto"/>
                            <w:bottom w:val="none" w:sz="0" w:space="0" w:color="auto"/>
                            <w:right w:val="none" w:sz="0" w:space="0" w:color="auto"/>
                          </w:divBdr>
                          <w:divsChild>
                            <w:div w:id="824785435">
                              <w:marLeft w:val="0"/>
                              <w:marRight w:val="0"/>
                              <w:marTop w:val="0"/>
                              <w:marBottom w:val="0"/>
                              <w:divBdr>
                                <w:top w:val="none" w:sz="0" w:space="0" w:color="auto"/>
                                <w:left w:val="none" w:sz="0" w:space="0" w:color="auto"/>
                                <w:bottom w:val="none" w:sz="0" w:space="0" w:color="auto"/>
                                <w:right w:val="none" w:sz="0" w:space="0" w:color="auto"/>
                              </w:divBdr>
                              <w:divsChild>
                                <w:div w:id="2111466962">
                                  <w:marLeft w:val="0"/>
                                  <w:marRight w:val="0"/>
                                  <w:marTop w:val="0"/>
                                  <w:marBottom w:val="0"/>
                                  <w:divBdr>
                                    <w:top w:val="none" w:sz="0" w:space="0" w:color="auto"/>
                                    <w:left w:val="none" w:sz="0" w:space="0" w:color="auto"/>
                                    <w:bottom w:val="none" w:sz="0" w:space="0" w:color="auto"/>
                                    <w:right w:val="none" w:sz="0" w:space="0" w:color="auto"/>
                                  </w:divBdr>
                                  <w:divsChild>
                                    <w:div w:id="333729731">
                                      <w:marLeft w:val="0"/>
                                      <w:marRight w:val="0"/>
                                      <w:marTop w:val="0"/>
                                      <w:marBottom w:val="0"/>
                                      <w:divBdr>
                                        <w:top w:val="none" w:sz="0" w:space="0" w:color="auto"/>
                                        <w:left w:val="none" w:sz="0" w:space="0" w:color="auto"/>
                                        <w:bottom w:val="none" w:sz="0" w:space="0" w:color="auto"/>
                                        <w:right w:val="none" w:sz="0" w:space="0" w:color="auto"/>
                                      </w:divBdr>
                                      <w:divsChild>
                                        <w:div w:id="167336353">
                                          <w:marLeft w:val="0"/>
                                          <w:marRight w:val="0"/>
                                          <w:marTop w:val="0"/>
                                          <w:marBottom w:val="0"/>
                                          <w:divBdr>
                                            <w:top w:val="none" w:sz="0" w:space="0" w:color="auto"/>
                                            <w:left w:val="none" w:sz="0" w:space="0" w:color="auto"/>
                                            <w:bottom w:val="none" w:sz="0" w:space="0" w:color="auto"/>
                                            <w:right w:val="none" w:sz="0" w:space="0" w:color="auto"/>
                                          </w:divBdr>
                                          <w:divsChild>
                                            <w:div w:id="854877458">
                                              <w:marLeft w:val="0"/>
                                              <w:marRight w:val="0"/>
                                              <w:marTop w:val="0"/>
                                              <w:marBottom w:val="0"/>
                                              <w:divBdr>
                                                <w:top w:val="none" w:sz="0" w:space="0" w:color="auto"/>
                                                <w:left w:val="none" w:sz="0" w:space="0" w:color="auto"/>
                                                <w:bottom w:val="none" w:sz="0" w:space="0" w:color="auto"/>
                                                <w:right w:val="none" w:sz="0" w:space="0" w:color="auto"/>
                                              </w:divBdr>
                                              <w:divsChild>
                                                <w:div w:id="488714595">
                                                  <w:marLeft w:val="0"/>
                                                  <w:marRight w:val="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
                                                  </w:divsChild>
                                                </w:div>
                                                <w:div w:id="1668509106">
                                                  <w:marLeft w:val="0"/>
                                                  <w:marRight w:val="0"/>
                                                  <w:marTop w:val="0"/>
                                                  <w:marBottom w:val="0"/>
                                                  <w:divBdr>
                                                    <w:top w:val="none" w:sz="0" w:space="0" w:color="auto"/>
                                                    <w:left w:val="none" w:sz="0" w:space="0" w:color="auto"/>
                                                    <w:bottom w:val="none" w:sz="0" w:space="0" w:color="auto"/>
                                                    <w:right w:val="none" w:sz="0" w:space="0" w:color="auto"/>
                                                  </w:divBdr>
                                                  <w:divsChild>
                                                    <w:div w:id="1069813040">
                                                      <w:marLeft w:val="0"/>
                                                      <w:marRight w:val="0"/>
                                                      <w:marTop w:val="0"/>
                                                      <w:marBottom w:val="0"/>
                                                      <w:divBdr>
                                                        <w:top w:val="none" w:sz="0" w:space="0" w:color="auto"/>
                                                        <w:left w:val="none" w:sz="0" w:space="0" w:color="auto"/>
                                                        <w:bottom w:val="none" w:sz="0" w:space="0" w:color="auto"/>
                                                        <w:right w:val="none" w:sz="0" w:space="0" w:color="auto"/>
                                                      </w:divBdr>
                                                    </w:div>
                                                  </w:divsChild>
                                                </w:div>
                                                <w:div w:id="1721856592">
                                                  <w:marLeft w:val="0"/>
                                                  <w:marRight w:val="0"/>
                                                  <w:marTop w:val="0"/>
                                                  <w:marBottom w:val="0"/>
                                                  <w:divBdr>
                                                    <w:top w:val="none" w:sz="0" w:space="0" w:color="auto"/>
                                                    <w:left w:val="none" w:sz="0" w:space="0" w:color="auto"/>
                                                    <w:bottom w:val="none" w:sz="0" w:space="0" w:color="auto"/>
                                                    <w:right w:val="none" w:sz="0" w:space="0" w:color="auto"/>
                                                  </w:divBdr>
                                                  <w:divsChild>
                                                    <w:div w:id="1549220127">
                                                      <w:marLeft w:val="0"/>
                                                      <w:marRight w:val="0"/>
                                                      <w:marTop w:val="0"/>
                                                      <w:marBottom w:val="0"/>
                                                      <w:divBdr>
                                                        <w:top w:val="none" w:sz="0" w:space="0" w:color="auto"/>
                                                        <w:left w:val="none" w:sz="0" w:space="0" w:color="auto"/>
                                                        <w:bottom w:val="none" w:sz="0" w:space="0" w:color="auto"/>
                                                        <w:right w:val="none" w:sz="0" w:space="0" w:color="auto"/>
                                                      </w:divBdr>
                                                    </w:div>
                                                  </w:divsChild>
                                                </w:div>
                                                <w:div w:id="1124882834">
                                                  <w:marLeft w:val="0"/>
                                                  <w:marRight w:val="0"/>
                                                  <w:marTop w:val="0"/>
                                                  <w:marBottom w:val="0"/>
                                                  <w:divBdr>
                                                    <w:top w:val="none" w:sz="0" w:space="0" w:color="auto"/>
                                                    <w:left w:val="none" w:sz="0" w:space="0" w:color="auto"/>
                                                    <w:bottom w:val="none" w:sz="0" w:space="0" w:color="auto"/>
                                                    <w:right w:val="none" w:sz="0" w:space="0" w:color="auto"/>
                                                  </w:divBdr>
                                                  <w:divsChild>
                                                    <w:div w:id="2417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4147260724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pw.qld.gov.au/SiteCollectionDocuments/WaterResilientProductsAndBuildingTechniquesForRebuildingAfterAFlood.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onsult.moretonbay.qld.gov.au/portal/mbrcpsv3?pointId=s1414726072426" TargetMode="External"/><Relationship Id="rId4" Type="http://schemas.openxmlformats.org/officeDocument/2006/relationships/webSettings" Target="webSettings.xml"/><Relationship Id="rId9" Type="http://schemas.openxmlformats.org/officeDocument/2006/relationships/hyperlink" Target="http://www.hpw.qld.gov.au/SiteCollectionDocuments/WaterResilientProductsAndBuildingTechniquesForRebuildingAfterAFloo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4938</Characters>
  <Application>Microsoft Office Word</Application>
  <DocSecurity>0</DocSecurity>
  <Lines>41</Lines>
  <Paragraphs>11</Paragraphs>
  <ScaleCrop>false</ScaleCrop>
  <Company>Moreton Bay Regional Council</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Diane Williams</cp:lastModifiedBy>
  <cp:revision>2</cp:revision>
  <dcterms:created xsi:type="dcterms:W3CDTF">2017-07-05T22:41:00Z</dcterms:created>
  <dcterms:modified xsi:type="dcterms:W3CDTF">2017-07-13T06:22:00Z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A15543180</vt:lpwstr>
  </property>
  <property fmtid="{D5CDD505-2E9C-101B-9397-08002B2CF9AE}" pid="4" name="Objective-Title">
    <vt:lpwstr>Overlay code - Coastal hazard - Requirements for accepted development</vt:lpwstr>
  </property>
  <property fmtid="{D5CDD505-2E9C-101B-9397-08002B2CF9AE}" pid="5" name="Objective-Comment">
    <vt:lpwstr/>
  </property>
  <property fmtid="{D5CDD505-2E9C-101B-9397-08002B2CF9AE}" pid="6" name="Objective-CreationStamp">
    <vt:filetime>2017-07-05T23:40:19Z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2017-07-13T06:21:46Z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