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518"/>
      </w:tblGrid>
      <w:tr w:rsidR="00A31CFF" w:rsidRPr="00F215B6" w:rsidTr="00A31CF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31CFF" w:rsidRPr="00F215B6" w:rsidRDefault="00A31CFF" w:rsidP="00C904A8">
            <w:pPr>
              <w:spacing w:before="100" w:beforeAutospacing="1" w:after="100" w:afterAutospacing="1" w:line="240" w:lineRule="auto"/>
              <w:jc w:val="center"/>
              <w:rPr>
                <w:rFonts w:ascii="Arial" w:eastAsia="Times New Roman" w:hAnsi="Arial" w:cs="Arial"/>
                <w:sz w:val="20"/>
                <w:szCs w:val="20"/>
                <w:lang w:eastAsia="en-AU"/>
              </w:rPr>
            </w:pPr>
            <w:r w:rsidRPr="00F215B6">
              <w:rPr>
                <w:rFonts w:ascii="Arial" w:eastAsia="Times New Roman" w:hAnsi="Arial" w:cs="Arial"/>
                <w:b/>
                <w:bCs/>
                <w:sz w:val="20"/>
                <w:szCs w:val="20"/>
                <w:lang w:eastAsia="en-AU"/>
              </w:rPr>
              <w:t>Table 9.3.1.1 Requirements for accepted development</w:t>
            </w:r>
          </w:p>
        </w:tc>
      </w:tr>
    </w:tbl>
    <w:p w:rsidR="00A31CFF" w:rsidRPr="00F215B6" w:rsidRDefault="00A31CFF" w:rsidP="00C904A8">
      <w:pPr>
        <w:spacing w:before="100" w:beforeAutospacing="1" w:after="100" w:afterAutospacing="1" w:line="240" w:lineRule="auto"/>
        <w:rPr>
          <w:rFonts w:ascii="Arial" w:hAnsi="Arial" w:cs="Arial"/>
          <w:sz w:val="20"/>
          <w:szCs w:val="20"/>
        </w:rPr>
      </w:pPr>
    </w:p>
    <w:tbl>
      <w:tblPr>
        <w:tblW w:w="4960" w:type="pct"/>
        <w:tblCellSpacing w:w="15" w:type="dxa"/>
        <w:tblInd w:w="1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82"/>
        <w:gridCol w:w="9376"/>
        <w:gridCol w:w="1786"/>
        <w:gridCol w:w="2920"/>
      </w:tblGrid>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Requirements for accepted development</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116366" w:rsidP="00C904A8">
            <w:pPr>
              <w:spacing w:before="100" w:beforeAutospacing="1" w:after="100" w:afterAutospacing="1" w:line="240" w:lineRule="auto"/>
              <w:ind w:left="147" w:right="147"/>
              <w:contextualSpacing/>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A31CFF" w:rsidRPr="00F215B6">
              <w:rPr>
                <w:rFonts w:ascii="Arial" w:eastAsia="Times New Roman" w:hAnsi="Arial" w:cs="Arial"/>
                <w:b/>
                <w:bCs/>
                <w:sz w:val="20"/>
                <w:szCs w:val="20"/>
                <w:lang w:eastAsia="en-AU"/>
              </w:rPr>
              <w:t xml:space="preserve"> Compliance</w:t>
            </w:r>
          </w:p>
          <w:p w:rsidR="00A31CFF" w:rsidRPr="00F215B6" w:rsidRDefault="00A31CFF" w:rsidP="00C904A8">
            <w:pPr>
              <w:pStyle w:val="ListParagraph"/>
              <w:numPr>
                <w:ilvl w:val="0"/>
                <w:numId w:val="39"/>
              </w:numPr>
              <w:spacing w:before="100" w:beforeAutospacing="1" w:after="100" w:afterAutospacing="1" w:line="240" w:lineRule="auto"/>
              <w:ind w:right="150"/>
              <w:jc w:val="center"/>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Yes</w:t>
            </w:r>
          </w:p>
          <w:p w:rsidR="00A31CFF" w:rsidRPr="00F215B6" w:rsidRDefault="00A31CFF" w:rsidP="00C904A8">
            <w:pPr>
              <w:pStyle w:val="ListParagraph"/>
              <w:numPr>
                <w:ilvl w:val="0"/>
                <w:numId w:val="39"/>
              </w:numPr>
              <w:spacing w:before="100" w:beforeAutospacing="1" w:after="100" w:afterAutospacing="1" w:line="240" w:lineRule="auto"/>
              <w:ind w:left="504" w:right="147" w:hanging="357"/>
              <w:jc w:val="center"/>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No</w:t>
            </w: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contextualSpacing/>
              <w:jc w:val="center"/>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Council confirmation</w:t>
            </w:r>
          </w:p>
        </w:tc>
      </w:tr>
      <w:tr w:rsidR="00A31CFF" w:rsidRPr="00F215B6" w:rsidTr="00C904A8">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General requirements (All lots - Traditional lot, Narrow lot, Row lot and Laneway lot)</w:t>
            </w: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Building height</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213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w:t>
            </w:r>
          </w:p>
        </w:tc>
        <w:tc>
          <w:tcPr>
            <w:tcW w:w="30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Building height does not exceed that mapped on Overlay map – Building heights.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56"/>
            </w:tblGrid>
            <w:tr w:rsidR="00A31CFF" w:rsidRPr="00F215B6" w:rsidTr="00A31CFF">
              <w:trPr>
                <w:tblCellSpacing w:w="15" w:type="dxa"/>
              </w:trPr>
              <w:tc>
                <w:tcPr>
                  <w:tcW w:w="1456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Minimum's mapped on Overlay map - Building heights, do not apply to Dwelling houses.</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The above does not apply to domestic outbuildings. Refer to requirements for Domestic outbuildings for requirements.</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is an alternative provision to the QDC, part MP1.1, A4 and part MP1.2, A4. Non-compliance with this provision for a Dwelling house</w:t>
                  </w:r>
                  <w:r w:rsidRPr="00F215B6">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43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The height of tall structures (e.g. antenna, aerial, chimney, flagpole or the like) projects no more than 8.5m above the level of natural ground and transmission and receiving dishes are no larger than 1.2m diameter.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This is a quantifiable standard that relates to matters identified in Schedule 9, Part 3, Division 2, Table of Regulation. Non-compliance with this provision for a Dwelling house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Setbacks</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598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Setbacks (excluding built to boundary walls) comply with:</w:t>
            </w:r>
          </w:p>
          <w:p w:rsidR="00A31CFF" w:rsidRPr="00F215B6" w:rsidRDefault="00A31CFF" w:rsidP="00C90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Emerging community zone:</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Transition precinct (developed lot) Morayfield South urban area identified in Figure 9.3.1.1 Morayfield South - Urban area ’ - </w:t>
            </w:r>
            <w:hyperlink r:id="rId8" w:anchor="ID-327431-TABLE-9.3.1.6" w:history="1">
              <w:r w:rsidRPr="00F215B6">
                <w:rPr>
                  <w:rFonts w:ascii="Arial" w:eastAsia="Times New Roman" w:hAnsi="Arial" w:cs="Arial"/>
                  <w:sz w:val="20"/>
                  <w:szCs w:val="20"/>
                  <w:lang w:eastAsia="en-AU"/>
                </w:rPr>
                <w:t>Table 9.3.1.6 ‘Setbacks’</w:t>
              </w:r>
            </w:hyperlink>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Transition precinct (developed lot) all other areas - Table 9.3.1.5 ‘Setbacks</w:t>
            </w:r>
          </w:p>
          <w:p w:rsidR="00A31CFF" w:rsidRPr="00F215B6" w:rsidRDefault="00A31CFF" w:rsidP="00C90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General residential zone:</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Coastal communities precinct - Table 9.3.1.3 ‘Setbacks</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Suburban neighbourhood precinct - Table 9.3.1.4 ‘Setbacks</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Next generation neighbourhood precinct - Table 9.3.1.5 ‘Setbacks</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Urban neighbourhood precinct - Table 9.3.1.6</w:t>
            </w:r>
          </w:p>
          <w:p w:rsidR="00A31CFF" w:rsidRPr="00F215B6" w:rsidRDefault="00A31CFF" w:rsidP="00C90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Caboolture West local plan:</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Urban living precinct - Next generation sub-precinct - Table 9.3.1.5 ‘Setbacks</w:t>
            </w:r>
          </w:p>
          <w:p w:rsidR="00A31CFF" w:rsidRPr="00F215B6" w:rsidRDefault="00A31CFF" w:rsidP="00C904A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Redcliffe Kippa-Ring local plan:</w:t>
            </w:r>
          </w:p>
          <w:p w:rsidR="00A31CFF" w:rsidRPr="00F215B6" w:rsidRDefault="00A31CFF" w:rsidP="00C904A8">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Interim residential precinct - Table 9.3.1.3 ‘Setbacks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is an alternative provision to the QDC, part MP1.1, A1 (a), (b) and (c), A2 (a), (b) and (d) and part MP1.2, A1 (a), (b) and (c), A2 (a), (b) and (d). Non-compliance with this provision for a Dwelling house</w:t>
                  </w:r>
                  <w:r w:rsidRPr="00F215B6">
                    <w:rPr>
                      <w:rFonts w:ascii="Arial" w:eastAsia="Times New Roman" w:hAnsi="Arial" w:cs="Arial"/>
                      <w:sz w:val="20"/>
                      <w:szCs w:val="20"/>
                      <w:vertAlign w:val="superscript"/>
                      <w:lang w:eastAsia="en-AU"/>
                    </w:rPr>
                    <w:t>(</w:t>
                  </w:r>
                  <w:hyperlink r:id="rId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Note - Greater setbacks may be required if the lot adjoins an environmental corridor or area (Refer to values and constraints for details). </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The above setbacks apply only to Class 1a and Class 10a buildings/structures.</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672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Built to boundary walls are:</w:t>
            </w:r>
          </w:p>
          <w:p w:rsidR="00A31CFF" w:rsidRPr="00F215B6" w:rsidRDefault="00A31CFF" w:rsidP="00C904A8">
            <w:pPr>
              <w:numPr>
                <w:ilvl w:val="0"/>
                <w:numId w:val="2"/>
              </w:numPr>
              <w:tabs>
                <w:tab w:val="clear" w:pos="720"/>
              </w:tabs>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provided on lots with a frontage less than 18m, in accordance with a plan of development approved by council as part of a previous development approval applying to the land or as subsequently amended by council in writing; </w:t>
            </w:r>
          </w:p>
          <w:p w:rsidR="00A31CFF" w:rsidRPr="00F215B6" w:rsidRDefault="00A31CFF" w:rsidP="00C904A8">
            <w:p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OR</w:t>
            </w:r>
          </w:p>
          <w:p w:rsidR="00A31CFF" w:rsidRPr="00F215B6" w:rsidRDefault="00A31CFF" w:rsidP="00C904A8">
            <w:pPr>
              <w:numPr>
                <w:ilvl w:val="0"/>
                <w:numId w:val="2"/>
              </w:numPr>
              <w:spacing w:before="100" w:beforeAutospacing="1" w:after="100" w:afterAutospacing="1" w:line="240" w:lineRule="auto"/>
              <w:ind w:left="450" w:hanging="180"/>
              <w:rPr>
                <w:rFonts w:ascii="Arial" w:eastAsia="Times New Roman" w:hAnsi="Arial" w:cs="Arial"/>
                <w:sz w:val="20"/>
                <w:szCs w:val="20"/>
                <w:lang w:eastAsia="en-AU"/>
              </w:rPr>
            </w:pPr>
            <w:r w:rsidRPr="00F215B6">
              <w:rPr>
                <w:rFonts w:ascii="Arial" w:eastAsia="Times New Roman" w:hAnsi="Arial" w:cs="Arial"/>
                <w:sz w:val="20"/>
                <w:szCs w:val="20"/>
                <w:lang w:eastAsia="en-AU"/>
              </w:rPr>
              <w:t>for all other built to boundary walls refer to Table 9</w:t>
            </w:r>
            <w:r w:rsidR="00B45D42" w:rsidRPr="00F215B6">
              <w:rPr>
                <w:rFonts w:ascii="Arial" w:eastAsia="Times New Roman" w:hAnsi="Arial" w:cs="Arial"/>
                <w:sz w:val="20"/>
                <w:szCs w:val="20"/>
                <w:lang w:eastAsia="en-AU"/>
              </w:rPr>
              <w:t xml:space="preserve">.3.1.7 ‘Built to boundary walls; </w:t>
            </w:r>
            <w:r w:rsidRPr="00F215B6">
              <w:rPr>
                <w:rFonts w:ascii="Arial" w:eastAsia="Times New Roman" w:hAnsi="Arial" w:cs="Arial"/>
                <w:sz w:val="20"/>
                <w:szCs w:val="20"/>
                <w:lang w:eastAsia="en-AU"/>
              </w:rPr>
              <w:t xml:space="preserve">(mandatory/optional) </w:t>
            </w:r>
          </w:p>
          <w:p w:rsidR="00A31CFF" w:rsidRPr="00F215B6" w:rsidRDefault="00A31CFF" w:rsidP="00C90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of a length and height in Table 9.3.1.7 ‘Built to boundary walls; </w:t>
            </w:r>
          </w:p>
          <w:p w:rsidR="00A31CFF" w:rsidRPr="00F215B6" w:rsidRDefault="00A31CFF" w:rsidP="00C90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setback from the side boundary:</w:t>
            </w:r>
          </w:p>
          <w:p w:rsidR="00A31CFF" w:rsidRPr="00F215B6" w:rsidRDefault="00A31CFF" w:rsidP="00C904A8">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 more than 20mm; or</w:t>
            </w:r>
          </w:p>
          <w:p w:rsidR="00A31CFF" w:rsidRPr="00F215B6" w:rsidRDefault="00A31CFF" w:rsidP="00C904A8">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if a plan of development shows only one built to boundary wall on the boundary, not more than 200mm;</w:t>
            </w:r>
          </w:p>
          <w:p w:rsidR="00A31CFF" w:rsidRPr="00F215B6" w:rsidRDefault="00A31CFF" w:rsidP="00C904A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 'easement for maintenance purposes' is recommended.  </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The above setbacks apply only to Class 1a and Class 10a buildings/structures.</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is an alternative provision to the QDC, part MP1.1, A1 (a), (b) and (c), A2 (a), (b) and (d) and part MP1.2, A1 (a), (b) and (c), A2 (a), (b) and (d). Non-compliance with this provision for a Dwelling house</w:t>
                  </w:r>
                  <w:r w:rsidRPr="00F215B6">
                    <w:rPr>
                      <w:rFonts w:ascii="Arial" w:eastAsia="Times New Roman" w:hAnsi="Arial" w:cs="Arial"/>
                      <w:sz w:val="20"/>
                      <w:szCs w:val="20"/>
                      <w:vertAlign w:val="superscript"/>
                      <w:lang w:eastAsia="en-AU"/>
                    </w:rPr>
                    <w:t>(</w:t>
                  </w:r>
                  <w:hyperlink r:id="rId1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Editor's note - A wall is not to be built to the boundary if it has a window or if a wall of a building on an adjoining lot:</w:t>
                  </w:r>
                </w:p>
                <w:p w:rsidR="00A31CFF" w:rsidRPr="00F215B6" w:rsidRDefault="00A31CFF" w:rsidP="00C904A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is within 900mm of that boundary;</w:t>
                  </w:r>
                </w:p>
                <w:p w:rsidR="00A31CFF" w:rsidRPr="00F215B6" w:rsidRDefault="00A31CFF" w:rsidP="00C904A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is within 1.5m of that boundary and has an opening/window to a habitable room;</w:t>
                  </w:r>
                </w:p>
                <w:p w:rsidR="00A31CFF" w:rsidRPr="00F215B6" w:rsidRDefault="00A31CFF" w:rsidP="00C904A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is not constructed from masonry or other material fire rated in accordance with the Building Code of Australia.</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Site cover</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624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Site cover (excluding eaves, sun shading devices, patios, balconies and other unenclosed structures) does not exceed:</w:t>
            </w:r>
          </w:p>
          <w:p w:rsidR="00A31CFF" w:rsidRPr="00F215B6" w:rsidRDefault="00A31CFF" w:rsidP="00C904A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Emerging community zone:</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Transition precinct (developed lot) - in accordance with the table below</w:t>
            </w:r>
          </w:p>
          <w:p w:rsidR="00A31CFF" w:rsidRPr="00F215B6" w:rsidRDefault="00A31CFF" w:rsidP="00C904A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General residential zone:</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Coastal communities precinct – 50%</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Suburban neighbourhood precinct – 50%</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Next generation neighbourhood precinct – in accordance with the table below</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Urban neighbourhood precinct – in accordance with the table below</w:t>
            </w:r>
          </w:p>
          <w:p w:rsidR="00A31CFF" w:rsidRPr="00F215B6" w:rsidRDefault="00A31CFF" w:rsidP="00C904A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Caboolture west local plan:</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Urban living precinct - Next generation sub-precinct - in accordance with the table below</w:t>
            </w:r>
          </w:p>
          <w:p w:rsidR="00A31CFF" w:rsidRPr="00F215B6" w:rsidRDefault="00A31CFF" w:rsidP="00C904A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Redcliffe Kippa-Ring local plan:</w:t>
            </w:r>
          </w:p>
          <w:p w:rsidR="00A31CFF" w:rsidRPr="00F215B6" w:rsidRDefault="00A31CFF" w:rsidP="00C904A8">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Interim residential precinct - 50%</w:t>
            </w:r>
          </w:p>
          <w:tbl>
            <w:tblPr>
              <w:tblW w:w="4959"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97"/>
              <w:gridCol w:w="1540"/>
              <w:gridCol w:w="1287"/>
              <w:gridCol w:w="1287"/>
              <w:gridCol w:w="1380"/>
              <w:gridCol w:w="2033"/>
            </w:tblGrid>
            <w:tr w:rsidR="00A31CFF" w:rsidRPr="00F215B6" w:rsidTr="007849E7">
              <w:trPr>
                <w:tblCellSpacing w:w="15" w:type="dxa"/>
              </w:trPr>
              <w:tc>
                <w:tcPr>
                  <w:tcW w:w="1473"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Building height</w:t>
                  </w:r>
                </w:p>
              </w:tc>
              <w:tc>
                <w:tcPr>
                  <w:tcW w:w="6686" w:type="dxa"/>
                  <w:gridSpan w:val="5"/>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Lot Size</w:t>
                  </w:r>
                </w:p>
              </w:tc>
            </w:tr>
            <w:tr w:rsidR="00A31CFF" w:rsidRPr="00F215B6" w:rsidTr="007849E7">
              <w:trPr>
                <w:tblCellSpacing w:w="15" w:type="dxa"/>
              </w:trPr>
              <w:tc>
                <w:tcPr>
                  <w:tcW w:w="1473" w:type="dxa"/>
                  <w:vMerge/>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1347" w:type="dxa"/>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300m</w:t>
                  </w:r>
                  <w:r w:rsidRPr="00F215B6">
                    <w:rPr>
                      <w:rFonts w:ascii="Arial" w:eastAsia="Times New Roman" w:hAnsi="Arial" w:cs="Arial"/>
                      <w:b/>
                      <w:bCs/>
                      <w:sz w:val="20"/>
                      <w:szCs w:val="20"/>
                      <w:vertAlign w:val="superscript"/>
                      <w:lang w:eastAsia="en-AU"/>
                    </w:rPr>
                    <w:t>2</w:t>
                  </w:r>
                  <w:r w:rsidRPr="00F215B6">
                    <w:rPr>
                      <w:rFonts w:ascii="Arial" w:eastAsia="Times New Roman" w:hAnsi="Arial" w:cs="Arial"/>
                      <w:b/>
                      <w:bCs/>
                      <w:sz w:val="20"/>
                      <w:szCs w:val="20"/>
                      <w:lang w:eastAsia="en-AU"/>
                    </w:rPr>
                    <w:t xml:space="preserve"> or less</w:t>
                  </w:r>
                </w:p>
              </w:tc>
              <w:tc>
                <w:tcPr>
                  <w:tcW w:w="1121" w:type="dxa"/>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301-400m</w:t>
                  </w:r>
                  <w:r w:rsidRPr="00F215B6">
                    <w:rPr>
                      <w:rFonts w:ascii="Arial" w:eastAsia="Times New Roman" w:hAnsi="Arial" w:cs="Arial"/>
                      <w:b/>
                      <w:bCs/>
                      <w:sz w:val="20"/>
                      <w:szCs w:val="20"/>
                      <w:vertAlign w:val="superscript"/>
                      <w:lang w:eastAsia="en-AU"/>
                    </w:rPr>
                    <w:t>2</w:t>
                  </w:r>
                </w:p>
              </w:tc>
              <w:tc>
                <w:tcPr>
                  <w:tcW w:w="1121" w:type="dxa"/>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401-500m</w:t>
                  </w:r>
                  <w:r w:rsidRPr="00F215B6">
                    <w:rPr>
                      <w:rFonts w:ascii="Arial" w:eastAsia="Times New Roman" w:hAnsi="Arial" w:cs="Arial"/>
                      <w:b/>
                      <w:bCs/>
                      <w:sz w:val="20"/>
                      <w:szCs w:val="20"/>
                      <w:vertAlign w:val="superscript"/>
                      <w:lang w:eastAsia="en-AU"/>
                    </w:rPr>
                    <w:t>2</w:t>
                  </w:r>
                </w:p>
              </w:tc>
              <w:tc>
                <w:tcPr>
                  <w:tcW w:w="1204" w:type="dxa"/>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501-1000m</w:t>
                  </w:r>
                  <w:r w:rsidRPr="00F215B6">
                    <w:rPr>
                      <w:rFonts w:ascii="Arial" w:eastAsia="Times New Roman" w:hAnsi="Arial" w:cs="Arial"/>
                      <w:b/>
                      <w:bCs/>
                      <w:sz w:val="20"/>
                      <w:szCs w:val="20"/>
                      <w:vertAlign w:val="superscript"/>
                      <w:lang w:eastAsia="en-AU"/>
                    </w:rPr>
                    <w:t>2</w:t>
                  </w:r>
                </w:p>
              </w:tc>
              <w:tc>
                <w:tcPr>
                  <w:tcW w:w="1773" w:type="dxa"/>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Greater than 1000m</w:t>
                  </w:r>
                  <w:r w:rsidRPr="00F215B6">
                    <w:rPr>
                      <w:rFonts w:ascii="Arial" w:eastAsia="Times New Roman" w:hAnsi="Arial" w:cs="Arial"/>
                      <w:b/>
                      <w:bCs/>
                      <w:sz w:val="20"/>
                      <w:szCs w:val="20"/>
                      <w:vertAlign w:val="superscript"/>
                      <w:lang w:eastAsia="en-AU"/>
                    </w:rPr>
                    <w:t>2</w:t>
                  </w:r>
                </w:p>
              </w:tc>
            </w:tr>
            <w:tr w:rsidR="00A31CFF" w:rsidRPr="00F215B6" w:rsidTr="007849E7">
              <w:trPr>
                <w:tblCellSpacing w:w="15" w:type="dxa"/>
              </w:trPr>
              <w:tc>
                <w:tcPr>
                  <w:tcW w:w="1473"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8.5m or less</w:t>
                  </w:r>
                </w:p>
              </w:tc>
              <w:tc>
                <w:tcPr>
                  <w:tcW w:w="1347"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75%</w:t>
                  </w:r>
                </w:p>
              </w:tc>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70%</w:t>
                  </w:r>
                </w:p>
              </w:tc>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60%</w:t>
                  </w: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60%</w:t>
                  </w:r>
                </w:p>
              </w:tc>
              <w:tc>
                <w:tcPr>
                  <w:tcW w:w="1773"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60%</w:t>
                  </w:r>
                </w:p>
              </w:tc>
            </w:tr>
            <w:tr w:rsidR="00A31CFF" w:rsidRPr="00F215B6" w:rsidTr="007849E7">
              <w:trPr>
                <w:tblCellSpacing w:w="15" w:type="dxa"/>
              </w:trPr>
              <w:tc>
                <w:tcPr>
                  <w:tcW w:w="1473"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&gt;8.5m – 12.0m</w:t>
                  </w:r>
                </w:p>
              </w:tc>
              <w:tc>
                <w:tcPr>
                  <w:tcW w:w="1347"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w:t>
                  </w:r>
                </w:p>
              </w:tc>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w:t>
                  </w:r>
                </w:p>
              </w:tc>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60%</w:t>
                  </w: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w:t>
                  </w:r>
                </w:p>
              </w:tc>
              <w:tc>
                <w:tcPr>
                  <w:tcW w:w="1773"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w:t>
                  </w:r>
                </w:p>
              </w:tc>
            </w:tr>
            <w:tr w:rsidR="00A31CFF" w:rsidRPr="00F215B6" w:rsidTr="007849E7">
              <w:trPr>
                <w:tblCellSpacing w:w="15" w:type="dxa"/>
              </w:trPr>
              <w:tc>
                <w:tcPr>
                  <w:tcW w:w="1473"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&gt;12.0m</w:t>
                  </w:r>
                </w:p>
              </w:tc>
              <w:tc>
                <w:tcPr>
                  <w:tcW w:w="1347"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N/A</w:t>
                  </w:r>
                </w:p>
              </w:tc>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N/A</w:t>
                  </w:r>
                </w:p>
              </w:tc>
              <w:tc>
                <w:tcPr>
                  <w:tcW w:w="1121"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N/A</w:t>
                  </w:r>
                </w:p>
              </w:tc>
              <w:tc>
                <w:tcPr>
                  <w:tcW w:w="1204"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w:t>
                  </w:r>
                </w:p>
              </w:tc>
              <w:tc>
                <w:tcPr>
                  <w:tcW w:w="1773" w:type="dxa"/>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40%</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is an alternative provision to the QDC, part MP1.1, A3 and part MP1.2, A3. Non-compliance with this provision for a Dwelling house</w:t>
                  </w:r>
                  <w:r w:rsidRPr="00F215B6">
                    <w:rPr>
                      <w:rFonts w:ascii="Arial" w:eastAsia="Times New Roman" w:hAnsi="Arial" w:cs="Arial"/>
                      <w:sz w:val="20"/>
                      <w:szCs w:val="20"/>
                      <w:vertAlign w:val="superscript"/>
                      <w:lang w:eastAsia="en-AU"/>
                    </w:rPr>
                    <w:t>(</w:t>
                  </w:r>
                  <w:hyperlink r:id="rId1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Car parking</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61"/>
              <w:gridCol w:w="5988"/>
              <w:gridCol w:w="3055"/>
              <w:gridCol w:w="212"/>
            </w:tblGrid>
            <w:tr w:rsidR="00A31CFF" w:rsidRPr="00F215B6" w:rsidTr="00A31CFF">
              <w:trPr>
                <w:gridBefore w:val="1"/>
                <w:gridAfter w:val="1"/>
                <w:wAfter w:w="72"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Location</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1650" w:type="pct"/>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Minimum number of car</w:t>
                  </w:r>
                  <w:r w:rsidR="00C904A8">
                    <w:rPr>
                      <w:rFonts w:ascii="Arial" w:eastAsia="Times New Roman" w:hAnsi="Arial" w:cs="Arial"/>
                      <w:b/>
                      <w:bCs/>
                      <w:sz w:val="20"/>
                      <w:szCs w:val="20"/>
                      <w:lang w:eastAsia="en-AU"/>
                    </w:rPr>
                    <w:t xml:space="preserve"> </w:t>
                  </w:r>
                  <w:r w:rsidRPr="00F215B6">
                    <w:rPr>
                      <w:rFonts w:ascii="Arial" w:eastAsia="Times New Roman" w:hAnsi="Arial" w:cs="Arial"/>
                      <w:b/>
                      <w:bCs/>
                      <w:sz w:val="20"/>
                      <w:szCs w:val="20"/>
                      <w:lang w:eastAsia="en-AU"/>
                    </w:rPr>
                    <w:t>spaces to be provided</w:t>
                  </w:r>
                </w:p>
              </w:tc>
            </w:tr>
            <w:tr w:rsidR="00A31CFF" w:rsidRPr="00F215B6" w:rsidTr="00A31CFF">
              <w:trPr>
                <w:gridBefore w:val="1"/>
                <w:gridAfter w:val="1"/>
                <w:wAfter w:w="72"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General residential zone:</w:t>
                  </w:r>
                </w:p>
                <w:p w:rsidR="00A31CFF" w:rsidRPr="00F215B6" w:rsidRDefault="00A31CFF" w:rsidP="00C904A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Coastal communities precinct</w:t>
                  </w:r>
                </w:p>
                <w:p w:rsidR="00A31CFF" w:rsidRPr="00F215B6" w:rsidRDefault="00A31CFF" w:rsidP="00C904A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Suburban neighbourhood precinct</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Redcliffe Kippa-Ring local plan:</w:t>
                  </w:r>
                </w:p>
                <w:p w:rsidR="00A31CFF" w:rsidRPr="00F215B6" w:rsidRDefault="00A31CFF" w:rsidP="00C904A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Interim residential precinct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3 per Dwelling house</w:t>
                  </w:r>
                  <w:r w:rsidRPr="00F215B6">
                    <w:rPr>
                      <w:rFonts w:ascii="Arial" w:eastAsia="Times New Roman" w:hAnsi="Arial" w:cs="Arial"/>
                      <w:sz w:val="20"/>
                      <w:szCs w:val="20"/>
                      <w:vertAlign w:val="superscript"/>
                      <w:lang w:eastAsia="en-AU"/>
                    </w:rPr>
                    <w:t>(</w:t>
                  </w:r>
                  <w:hyperlink r:id="rId1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p>
              </w:tc>
            </w:tr>
            <w:tr w:rsidR="00A31CFF" w:rsidRPr="00F215B6" w:rsidTr="00A31CFF">
              <w:trPr>
                <w:gridBefore w:val="1"/>
                <w:gridAfter w:val="1"/>
                <w:wAfter w:w="72"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Emerging community zone:</w:t>
                  </w:r>
                </w:p>
                <w:p w:rsidR="00A31CFF" w:rsidRPr="00F215B6" w:rsidRDefault="00A31CFF" w:rsidP="00C904A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Transition precinct (developed lot)</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General residential zone:</w:t>
                  </w:r>
                </w:p>
                <w:p w:rsidR="00A31CFF" w:rsidRPr="00F215B6" w:rsidRDefault="00A31CFF" w:rsidP="00C904A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Next generation neighbourhood precinct</w:t>
                  </w:r>
                </w:p>
                <w:p w:rsidR="00A31CFF" w:rsidRPr="00F215B6" w:rsidRDefault="00A31CFF" w:rsidP="00C904A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Urban neighbourhood precinct</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Caboolture west local plan code:</w:t>
                  </w:r>
                </w:p>
                <w:p w:rsidR="00A31CFF" w:rsidRPr="00F215B6" w:rsidRDefault="00A31CFF" w:rsidP="00C904A8">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Urban living precinct - Next generation sub-precinct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1 per Dwelling house</w:t>
                  </w:r>
                  <w:r w:rsidRPr="00F215B6">
                    <w:rPr>
                      <w:rFonts w:ascii="Arial" w:eastAsia="Times New Roman" w:hAnsi="Arial" w:cs="Arial"/>
                      <w:sz w:val="20"/>
                      <w:szCs w:val="20"/>
                      <w:vertAlign w:val="superscript"/>
                      <w:lang w:eastAsia="en-AU"/>
                    </w:rPr>
                    <w:t>(</w:t>
                  </w:r>
                  <w:hyperlink r:id="rId1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p>
              </w:tc>
            </w:tr>
            <w:tr w:rsidR="00A31CFF" w:rsidRPr="00F215B6" w:rsidTr="00A31CFF">
              <w:tblPrEx>
                <w:tblBorders>
                  <w:top w:val="none" w:sz="0" w:space="0" w:color="auto"/>
                  <w:left w:val="none" w:sz="0" w:space="0" w:color="auto"/>
                  <w:bottom w:val="none" w:sz="0" w:space="0" w:color="auto"/>
                  <w:right w:val="none" w:sz="0" w:space="0" w:color="auto"/>
                </w:tblBorders>
              </w:tblPrEx>
              <w:trPr>
                <w:tblCellSpacing w:w="15" w:type="dxa"/>
              </w:trPr>
              <w:tc>
                <w:tcPr>
                  <w:tcW w:w="14609" w:type="dxa"/>
                  <w:gridSpan w:val="4"/>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Does not include the parking of Heavy Vehicles or Heavy Machinery.</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is an alternative provision to the QDC, part MP1.1, A8 and par MP1.2, A8. Non-compliance with this provision for a Dwelling house</w:t>
                  </w:r>
                  <w:r w:rsidRPr="00F215B6">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Garage and carport openings are in accordance with the table below: </w:t>
            </w:r>
          </w:p>
          <w:tbl>
            <w:tblPr>
              <w:tblW w:w="908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
              <w:gridCol w:w="3530"/>
              <w:gridCol w:w="4586"/>
              <w:gridCol w:w="922"/>
            </w:tblGrid>
            <w:tr w:rsidR="00A31CFF" w:rsidRPr="00F215B6" w:rsidTr="00C904A8">
              <w:trPr>
                <w:gridBefore w:val="1"/>
                <w:wBefore w:w="5" w:type="dxa"/>
                <w:tblCellSpacing w:w="15" w:type="dxa"/>
              </w:trPr>
              <w:tc>
                <w:tcPr>
                  <w:tcW w:w="3500"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Primary or Secondary frontage</w:t>
                  </w:r>
                </w:p>
              </w:tc>
              <w:tc>
                <w:tcPr>
                  <w:tcW w:w="5463"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Covered car space opening(s) per street frontage</w:t>
                  </w:r>
                </w:p>
              </w:tc>
            </w:tr>
            <w:tr w:rsidR="00A31CFF" w:rsidRPr="00F215B6" w:rsidTr="00C904A8">
              <w:trPr>
                <w:gridBefore w:val="1"/>
                <w:wBefore w:w="5" w:type="dxa"/>
                <w:tblCellSpacing w:w="15" w:type="dxa"/>
              </w:trPr>
              <w:tc>
                <w:tcPr>
                  <w:tcW w:w="35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Greater than 18m</w:t>
                  </w:r>
                </w:p>
              </w:tc>
              <w:tc>
                <w:tcPr>
                  <w:tcW w:w="5463"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 specified</w:t>
                  </w:r>
                </w:p>
              </w:tc>
            </w:tr>
            <w:tr w:rsidR="00A31CFF" w:rsidRPr="00F215B6" w:rsidTr="00C904A8">
              <w:trPr>
                <w:gridBefore w:val="1"/>
                <w:wBefore w:w="5" w:type="dxa"/>
                <w:tblCellSpacing w:w="15" w:type="dxa"/>
              </w:trPr>
              <w:tc>
                <w:tcPr>
                  <w:tcW w:w="35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Greater than 12.5m to 18m</w:t>
                  </w:r>
                </w:p>
              </w:tc>
              <w:tc>
                <w:tcPr>
                  <w:tcW w:w="5463"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6m wide maximum</w:t>
                  </w:r>
                </w:p>
              </w:tc>
            </w:tr>
            <w:tr w:rsidR="00A31CFF" w:rsidRPr="00F215B6" w:rsidTr="00C904A8">
              <w:trPr>
                <w:gridBefore w:val="1"/>
                <w:wBefore w:w="5" w:type="dxa"/>
                <w:tblCellSpacing w:w="15" w:type="dxa"/>
              </w:trPr>
              <w:tc>
                <w:tcPr>
                  <w:tcW w:w="35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12.5m* or less</w:t>
                  </w:r>
                </w:p>
              </w:tc>
              <w:tc>
                <w:tcPr>
                  <w:tcW w:w="5463"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Single storey: 3.0m wide maximum;Two storey: 6.0m wide maximum and recessed 1.0m behind the front wall or balcony of upper level. </w:t>
                  </w:r>
                </w:p>
                <w:tbl>
                  <w:tblPr>
                    <w:tblW w:w="493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6"/>
                  </w:tblGrid>
                  <w:tr w:rsidR="00A31CFF" w:rsidRPr="00F215B6" w:rsidTr="00C904A8">
                    <w:trPr>
                      <w:tblCellSpacing w:w="15" w:type="dxa"/>
                    </w:trPr>
                    <w:tc>
                      <w:tcPr>
                        <w:tcW w:w="5246"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Editor's note - Front wall is to have a minimum length of 40% of the adjoining frontage.</w:t>
                        </w:r>
                      </w:p>
                    </w:tc>
                  </w:tr>
                </w:tbl>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OR</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For a laneway lot (Single or two storey): no maximum</w:t>
                  </w:r>
                </w:p>
              </w:tc>
            </w:tr>
            <w:tr w:rsidR="00A31CFF" w:rsidRPr="00F215B6" w:rsidTr="00C904A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After w:val="1"/>
                <w:wAfter w:w="877" w:type="dxa"/>
                <w:tblCellSpacing w:w="15" w:type="dxa"/>
              </w:trPr>
              <w:tc>
                <w:tcPr>
                  <w:tcW w:w="8121" w:type="dxa"/>
                  <w:gridSpan w:val="3"/>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Note - *For a laneway lot, vehicle access and parking must be provided via the laneway.</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rHeight w:val="255"/>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Refer to Planning scheme policy - Residential design for details and examples.</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is an alternative provision to the QDC, part MP1.1, A1 (b). Non-compliance with this provision for a Dwelling house</w:t>
                  </w:r>
                  <w:r w:rsidRPr="00F215B6">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on a lot under 450m</w:t>
                  </w:r>
                  <w:r w:rsidRPr="00F215B6">
                    <w:rPr>
                      <w:rFonts w:ascii="Arial" w:eastAsia="Times New Roman" w:hAnsi="Arial" w:cs="Arial"/>
                      <w:sz w:val="20"/>
                      <w:szCs w:val="20"/>
                      <w:vertAlign w:val="superscript"/>
                      <w:lang w:eastAsia="en-AU"/>
                    </w:rPr>
                    <w:t>2</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the amenity and aesthetic impacts of the building or structure. Non-compliance with this provision for a Dwelling house</w:t>
                  </w:r>
                  <w:r w:rsidRPr="00F215B6">
                    <w:rPr>
                      <w:rFonts w:ascii="Arial" w:eastAsia="Times New Roman" w:hAnsi="Arial" w:cs="Arial"/>
                      <w:sz w:val="20"/>
                      <w:szCs w:val="20"/>
                      <w:vertAlign w:val="superscript"/>
                      <w:lang w:eastAsia="en-AU"/>
                    </w:rPr>
                    <w:t>(</w:t>
                  </w:r>
                  <w:hyperlink r:id="rId1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on a lot over 450m</w:t>
                  </w:r>
                  <w:r w:rsidRPr="00F215B6">
                    <w:rPr>
                      <w:rFonts w:ascii="Arial" w:eastAsia="Times New Roman" w:hAnsi="Arial" w:cs="Arial"/>
                      <w:sz w:val="20"/>
                      <w:szCs w:val="20"/>
                      <w:vertAlign w:val="superscript"/>
                      <w:lang w:eastAsia="en-AU"/>
                    </w:rPr>
                    <w:t>2</w:t>
                  </w:r>
                  <w:r w:rsidRPr="00F215B6">
                    <w:rPr>
                      <w:rFonts w:ascii="Arial" w:eastAsia="Times New Roman" w:hAnsi="Arial" w:cs="Arial"/>
                      <w:sz w:val="20"/>
                      <w:szCs w:val="20"/>
                      <w:lang w:eastAsia="en-AU"/>
                    </w:rPr>
                    <w:t xml:space="preserve"> requires a concurrence agency response from Council.</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Access and driveways</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51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RAD8</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Crossover widths are a maximum of 40% of the frontage access is being obtained from, or 4.8m whichever is the lesser, or for a laneway lot no maximum.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This is a quantifiable standard that relates to matters identified in Schedule 9, Part 3, Division 2, Table of Regulation. Non-compliance with this provision for a Dwelling house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78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RAD9</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Where there is a plan of development, driveway crossovers are located in accordance with a plan of development approved by Council as part of a development approval or as otherwise amended by Council in writing.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1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RAD10</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1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79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RAD11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Site access and driveways are designed and located in accordance with:</w:t>
            </w:r>
          </w:p>
          <w:p w:rsidR="00A31CFF" w:rsidRPr="00F215B6" w:rsidRDefault="00A31CFF" w:rsidP="00C90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where for a Council-controlled road, AS/NZS2890.1, section 3;</w:t>
            </w:r>
          </w:p>
          <w:p w:rsidR="00A31CFF" w:rsidRPr="00F215B6" w:rsidRDefault="00A31CFF" w:rsidP="00C904A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section 62 approval. </w:t>
            </w:r>
          </w:p>
          <w:tbl>
            <w:tblPr>
              <w:tblW w:w="825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257"/>
            </w:tblGrid>
            <w:tr w:rsidR="00A31CFF" w:rsidRPr="00F215B6" w:rsidTr="007849E7">
              <w:trPr>
                <w:tblCellSpacing w:w="15" w:type="dxa"/>
              </w:trPr>
              <w:tc>
                <w:tcPr>
                  <w:tcW w:w="8197"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Casual surveillance</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The Dwelling house (or the primary dwelling if including a secondary dwelling) must address primary frontages (excluding motorway and arterial roads) with a minimum of a front door, window(s) and pedestrian entrance.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If an acoustic fence has been conditioned as part of a reconfiguring a lot approval this provision does not apply to that frontage. </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Refer to Overlay map - Road hierarchy for road classification.</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62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 minimum of one habitable room window having an area of at least 1m</w:t>
            </w:r>
            <w:r w:rsidRPr="00F215B6">
              <w:rPr>
                <w:rFonts w:ascii="Arial" w:eastAsia="Times New Roman" w:hAnsi="Arial" w:cs="Arial"/>
                <w:sz w:val="20"/>
                <w:szCs w:val="20"/>
                <w:vertAlign w:val="superscript"/>
                <w:lang w:eastAsia="en-AU"/>
              </w:rPr>
              <w:t xml:space="preserve">2 </w:t>
            </w:r>
            <w:r w:rsidRPr="00F215B6">
              <w:rPr>
                <w:rFonts w:ascii="Arial" w:eastAsia="Times New Roman" w:hAnsi="Arial" w:cs="Arial"/>
                <w:sz w:val="20"/>
                <w:szCs w:val="20"/>
                <w:lang w:eastAsia="en-AU"/>
              </w:rPr>
              <w:t xml:space="preserve">on each level overlooks each adjoining public space (street, public open space or laneway).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Waste</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354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RAD14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Each dwelling (primary and secondary) includes a bin storage area that:</w:t>
            </w:r>
          </w:p>
          <w:p w:rsidR="00A31CFF" w:rsidRPr="00F215B6" w:rsidRDefault="00A31CFF" w:rsidP="00C904A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is not visible from public areas or screened from public areas;</w:t>
            </w:r>
          </w:p>
          <w:p w:rsidR="00A31CFF" w:rsidRPr="00F215B6" w:rsidRDefault="00A31CFF" w:rsidP="00C904A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is not located in the primary frontage setback, unless the dwelling is built to boundary on both sides of the lot with only one frontage; </w:t>
            </w:r>
          </w:p>
          <w:p w:rsidR="00A31CFF" w:rsidRPr="00F215B6" w:rsidRDefault="00A31CFF" w:rsidP="00C904A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is not located in an enclosed garage;</w:t>
            </w:r>
          </w:p>
          <w:p w:rsidR="00A31CFF" w:rsidRPr="00F215B6" w:rsidRDefault="00A31CFF" w:rsidP="00C904A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has a minimum area of 1m x 2m;</w:t>
            </w:r>
          </w:p>
          <w:p w:rsidR="00A31CFF" w:rsidRPr="00F215B6" w:rsidRDefault="00A31CFF" w:rsidP="00C904A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has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Refer to Planning scheme policy - Residential design for details and examples.</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Utilities</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217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RAD15</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The dwelling is connected to:</w:t>
            </w:r>
          </w:p>
          <w:p w:rsidR="00A31CFF" w:rsidRPr="00F215B6" w:rsidRDefault="00A31CFF" w:rsidP="00C90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an existing reticulated electricity supply;</w:t>
            </w:r>
          </w:p>
          <w:p w:rsidR="00A31CFF" w:rsidRPr="00F215B6" w:rsidRDefault="00A31CFF" w:rsidP="00C90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reticulated sewerage where in a reticulated area;</w:t>
            </w:r>
          </w:p>
          <w:p w:rsidR="00A31CFF" w:rsidRPr="00F215B6" w:rsidRDefault="00A31CFF" w:rsidP="00C90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reticulated water;</w:t>
            </w:r>
          </w:p>
          <w:p w:rsidR="00A31CFF" w:rsidRPr="00F215B6" w:rsidRDefault="00A31CFF" w:rsidP="00C904A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dedicated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Sloping land</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289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RAD16</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Building and lot design on slopes between 10% and 15% must:</w:t>
            </w:r>
          </w:p>
          <w:p w:rsidR="00A31CFF" w:rsidRPr="00F215B6" w:rsidRDefault="00A31CFF" w:rsidP="00C904A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use split-level, multiple-slab, pier or pole construction;</w:t>
            </w:r>
          </w:p>
          <w:p w:rsidR="00A31CFF" w:rsidRPr="00F215B6" w:rsidRDefault="00A31CFF" w:rsidP="00C904A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avoid single-plane slabs and benching;</w:t>
            </w:r>
          </w:p>
          <w:p w:rsidR="00A31CFF" w:rsidRPr="00F215B6" w:rsidRDefault="00A31CFF" w:rsidP="00C904A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have built to boundary walls on the low side of the lot to avoid drainage issues; and</w:t>
            </w:r>
          </w:p>
          <w:p w:rsidR="00A31CFF" w:rsidRPr="00F215B6" w:rsidRDefault="00A31CFF" w:rsidP="00C904A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follow the contour and ensure the height of cut and fill, whether retained or not, does not exceed 900mm.</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b/>
                <w:bCs/>
                <w:sz w:val="20"/>
                <w:szCs w:val="20"/>
                <w:lang w:eastAsia="en-AU"/>
              </w:rPr>
              <w:t>Figure - Cut and fill</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lastRenderedPageBreak/>
              <w:drawing>
                <wp:inline distT="0" distB="0" distL="0" distR="0" wp14:anchorId="375DFC51" wp14:editId="2BA58093">
                  <wp:extent cx="5400675" cy="2038350"/>
                  <wp:effectExtent l="0" t="0" r="9525" b="0"/>
                  <wp:docPr id="14" name="Picture 14" descr="Cut and fil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t and fill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20383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the amenity and aesthetic impacts of the building or structure. Non-compliance with this provision for a Dwelling house</w:t>
                  </w:r>
                  <w:r w:rsidRPr="00F215B6">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08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RAD17</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Building and lot design on slopes greater than 15% do not include slab on ground.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the amenity and aesthetic impacts of the building or structure. Non-compliance with this provision for a Dwelling house</w:t>
                  </w:r>
                  <w:r w:rsidRPr="00F215B6">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Development on a laneway</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204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RAD18</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The Dwelling house</w:t>
            </w:r>
            <w:r w:rsidRPr="00F215B6">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(or the primary dwelling where including a secondary dwelling) </w:t>
            </w:r>
          </w:p>
          <w:p w:rsidR="00A31CFF" w:rsidRPr="00F215B6" w:rsidRDefault="00A31CFF" w:rsidP="00C904A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faces the non-laneway frontage;</w:t>
            </w:r>
          </w:p>
          <w:p w:rsidR="00A31CFF" w:rsidRPr="00F215B6" w:rsidRDefault="00A31CFF" w:rsidP="00C904A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has its main pedestrian entrance (front door) from the non-laneway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20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RAD19</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Secondary dwelling</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262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RAD20</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The siting and design of dwellings ensures that the secondary dwelling is:</w:t>
            </w:r>
          </w:p>
          <w:p w:rsidR="00A31CFF" w:rsidRPr="00F215B6" w:rsidRDefault="00A31CFF" w:rsidP="00C904A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 located in front of the primary dwelling;</w:t>
            </w:r>
          </w:p>
          <w:p w:rsidR="00A31CFF" w:rsidRPr="00F215B6" w:rsidRDefault="00A31CFF" w:rsidP="00C904A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annexed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Refer to Planning scheme policy - Residential design for details and examples.</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08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RAD21</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 more than 1 secondary dwelling is located on an allotment.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98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RAD22</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The GFA of the secondary dwelling does not exceed:</w:t>
            </w:r>
          </w:p>
          <w:p w:rsidR="00A31CFF" w:rsidRPr="00F215B6" w:rsidRDefault="00A31CFF" w:rsidP="00C904A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45m</w:t>
            </w:r>
            <w:r w:rsidRPr="00F215B6">
              <w:rPr>
                <w:rFonts w:ascii="Arial" w:eastAsia="Times New Roman" w:hAnsi="Arial" w:cs="Arial"/>
                <w:sz w:val="20"/>
                <w:szCs w:val="20"/>
                <w:vertAlign w:val="superscript"/>
                <w:lang w:eastAsia="en-AU"/>
              </w:rPr>
              <w:t>2</w:t>
            </w:r>
            <w:r w:rsidRPr="00F215B6">
              <w:rPr>
                <w:rFonts w:ascii="Arial" w:eastAsia="Times New Roman" w:hAnsi="Arial" w:cs="Arial"/>
                <w:sz w:val="20"/>
                <w:szCs w:val="20"/>
                <w:lang w:eastAsia="en-AU"/>
              </w:rPr>
              <w:t xml:space="preserve"> GFA for a lot with a primary frontage less than 15m; or </w:t>
            </w:r>
          </w:p>
          <w:p w:rsidR="00A31CFF" w:rsidRPr="00F215B6" w:rsidRDefault="00A31CFF" w:rsidP="00C904A8">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55m</w:t>
            </w:r>
            <w:r w:rsidRPr="00F215B6">
              <w:rPr>
                <w:rFonts w:ascii="Arial" w:eastAsia="Times New Roman" w:hAnsi="Arial" w:cs="Arial"/>
                <w:sz w:val="20"/>
                <w:szCs w:val="20"/>
                <w:vertAlign w:val="superscript"/>
                <w:lang w:eastAsia="en-AU"/>
              </w:rPr>
              <w:t>2</w:t>
            </w:r>
            <w:r w:rsidRPr="00F215B6">
              <w:rPr>
                <w:rFonts w:ascii="Arial" w:eastAsia="Times New Roman" w:hAnsi="Arial" w:cs="Arial"/>
                <w:sz w:val="20"/>
                <w:szCs w:val="20"/>
                <w:lang w:eastAsia="en-AU"/>
              </w:rPr>
              <w:t xml:space="preserve"> GFA for a lot with a primary frontage of 15m or more.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rHeight w:val="1320"/>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RAD23</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Where additional car parking spaces are provided, car parking spaces are co-located with the parking spaces for the primary dwelling to appear as a single dwelling from the street.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31CFF" w:rsidRPr="00F215B6" w:rsidTr="00C904A8">
        <w:trPr>
          <w:tblCellSpacing w:w="15" w:type="dxa"/>
        </w:trPr>
        <w:tc>
          <w:tcPr>
            <w:tcW w:w="346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Domestic outbuildings</w:t>
            </w:r>
          </w:p>
        </w:tc>
        <w:tc>
          <w:tcPr>
            <w:tcW w:w="575"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CCCCCC"/>
          </w:tcPr>
          <w:p w:rsidR="00A31CFF" w:rsidRPr="00F215B6" w:rsidRDefault="00A31CFF"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CFF" w:rsidRPr="00F215B6" w:rsidTr="00C904A8">
        <w:trPr>
          <w:trHeight w:val="4965"/>
          <w:tblCellSpacing w:w="15" w:type="dxa"/>
        </w:trPr>
        <w:tc>
          <w:tcPr>
            <w:tcW w:w="405"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RAD24</w:t>
            </w:r>
          </w:p>
        </w:tc>
        <w:tc>
          <w:tcPr>
            <w:tcW w:w="3050"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Domestic outbuildings:</w:t>
            </w:r>
          </w:p>
          <w:p w:rsidR="00A31CFF" w:rsidRPr="00F215B6" w:rsidRDefault="00A31CFF" w:rsidP="00C904A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have a total combined maximum roofed area as outlined in the table below:</w:t>
            </w:r>
          </w:p>
          <w:tbl>
            <w:tblPr>
              <w:tblW w:w="4959"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462"/>
              <w:gridCol w:w="4762"/>
            </w:tblGrid>
            <w:tr w:rsidR="00A31CFF" w:rsidRPr="00F215B6" w:rsidTr="007849E7">
              <w:trPr>
                <w:tblCellSpacing w:w="15" w:type="dxa"/>
              </w:trPr>
              <w:tc>
                <w:tcPr>
                  <w:tcW w:w="2392" w:type="pct"/>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Size of lot</w:t>
                  </w:r>
                </w:p>
              </w:tc>
              <w:tc>
                <w:tcPr>
                  <w:tcW w:w="2554" w:type="pct"/>
                  <w:tcBorders>
                    <w:top w:val="outset" w:sz="6" w:space="0" w:color="auto"/>
                    <w:left w:val="outset" w:sz="6" w:space="0" w:color="auto"/>
                    <w:bottom w:val="outset" w:sz="6" w:space="0" w:color="auto"/>
                    <w:right w:val="outset" w:sz="6" w:space="0" w:color="auto"/>
                  </w:tcBorders>
                  <w:shd w:val="clear" w:color="auto" w:fill="CCCCCC"/>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Maximum roofed area</w:t>
                  </w:r>
                </w:p>
              </w:tc>
            </w:tr>
            <w:tr w:rsidR="00A31CFF" w:rsidRPr="00F215B6" w:rsidTr="007849E7">
              <w:trPr>
                <w:tblCellSpacing w:w="15" w:type="dxa"/>
              </w:trPr>
              <w:tc>
                <w:tcPr>
                  <w:tcW w:w="2392"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Less than 600m</w:t>
                  </w:r>
                  <w:r w:rsidRPr="00F215B6">
                    <w:rPr>
                      <w:rFonts w:ascii="Arial" w:eastAsia="Times New Roman" w:hAnsi="Arial" w:cs="Arial"/>
                      <w:sz w:val="20"/>
                      <w:szCs w:val="20"/>
                      <w:vertAlign w:val="superscript"/>
                      <w:lang w:eastAsia="en-AU"/>
                    </w:rPr>
                    <w:t>2</w:t>
                  </w:r>
                </w:p>
              </w:tc>
              <w:tc>
                <w:tcPr>
                  <w:tcW w:w="2554"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50m</w:t>
                  </w:r>
                  <w:r w:rsidRPr="00F215B6">
                    <w:rPr>
                      <w:rFonts w:ascii="Arial" w:eastAsia="Times New Roman" w:hAnsi="Arial" w:cs="Arial"/>
                      <w:sz w:val="20"/>
                      <w:szCs w:val="20"/>
                      <w:vertAlign w:val="superscript"/>
                      <w:lang w:eastAsia="en-AU"/>
                    </w:rPr>
                    <w:t>2</w:t>
                  </w:r>
                </w:p>
              </w:tc>
            </w:tr>
            <w:tr w:rsidR="00A31CFF" w:rsidRPr="00F215B6" w:rsidTr="007849E7">
              <w:trPr>
                <w:tblCellSpacing w:w="15" w:type="dxa"/>
              </w:trPr>
              <w:tc>
                <w:tcPr>
                  <w:tcW w:w="2392"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600m</w:t>
                  </w:r>
                  <w:r w:rsidRPr="00F215B6">
                    <w:rPr>
                      <w:rFonts w:ascii="Arial" w:eastAsia="Times New Roman" w:hAnsi="Arial" w:cs="Arial"/>
                      <w:sz w:val="20"/>
                      <w:szCs w:val="20"/>
                      <w:vertAlign w:val="superscript"/>
                      <w:lang w:eastAsia="en-AU"/>
                    </w:rPr>
                    <w:t xml:space="preserve">2 </w:t>
                  </w:r>
                  <w:r w:rsidRPr="00F215B6">
                    <w:rPr>
                      <w:rFonts w:ascii="Arial" w:eastAsia="Times New Roman" w:hAnsi="Arial" w:cs="Arial"/>
                      <w:sz w:val="20"/>
                      <w:szCs w:val="20"/>
                      <w:lang w:eastAsia="en-AU"/>
                    </w:rPr>
                    <w:t>- 1000m</w:t>
                  </w:r>
                  <w:r w:rsidRPr="00F215B6">
                    <w:rPr>
                      <w:rFonts w:ascii="Arial" w:eastAsia="Times New Roman" w:hAnsi="Arial" w:cs="Arial"/>
                      <w:sz w:val="20"/>
                      <w:szCs w:val="20"/>
                      <w:vertAlign w:val="superscript"/>
                      <w:lang w:eastAsia="en-AU"/>
                    </w:rPr>
                    <w:t>2</w:t>
                  </w:r>
                </w:p>
              </w:tc>
              <w:tc>
                <w:tcPr>
                  <w:tcW w:w="2554"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70m</w:t>
                  </w:r>
                  <w:r w:rsidRPr="00F215B6">
                    <w:rPr>
                      <w:rFonts w:ascii="Arial" w:eastAsia="Times New Roman" w:hAnsi="Arial" w:cs="Arial"/>
                      <w:sz w:val="20"/>
                      <w:szCs w:val="20"/>
                      <w:vertAlign w:val="superscript"/>
                      <w:lang w:eastAsia="en-AU"/>
                    </w:rPr>
                    <w:t>2</w:t>
                  </w:r>
                </w:p>
              </w:tc>
            </w:tr>
            <w:tr w:rsidR="00A31CFF" w:rsidRPr="00F215B6" w:rsidTr="007849E7">
              <w:trPr>
                <w:tblCellSpacing w:w="15" w:type="dxa"/>
              </w:trPr>
              <w:tc>
                <w:tcPr>
                  <w:tcW w:w="2392"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&gt;1000m</w:t>
                  </w:r>
                  <w:r w:rsidRPr="00F215B6">
                    <w:rPr>
                      <w:rFonts w:ascii="Arial" w:eastAsia="Times New Roman" w:hAnsi="Arial" w:cs="Arial"/>
                      <w:sz w:val="20"/>
                      <w:szCs w:val="20"/>
                      <w:vertAlign w:val="superscript"/>
                      <w:lang w:eastAsia="en-AU"/>
                    </w:rPr>
                    <w:t>2</w:t>
                  </w:r>
                  <w:r w:rsidRPr="00F215B6">
                    <w:rPr>
                      <w:rFonts w:ascii="Arial" w:eastAsia="Times New Roman" w:hAnsi="Arial" w:cs="Arial"/>
                      <w:sz w:val="20"/>
                      <w:szCs w:val="20"/>
                      <w:lang w:eastAsia="en-AU"/>
                    </w:rPr>
                    <w:t xml:space="preserve"> – 2000m</w:t>
                  </w:r>
                  <w:r w:rsidRPr="00F215B6">
                    <w:rPr>
                      <w:rFonts w:ascii="Arial" w:eastAsia="Times New Roman" w:hAnsi="Arial" w:cs="Arial"/>
                      <w:sz w:val="20"/>
                      <w:szCs w:val="20"/>
                      <w:vertAlign w:val="superscript"/>
                      <w:lang w:eastAsia="en-AU"/>
                    </w:rPr>
                    <w:t>2</w:t>
                  </w:r>
                </w:p>
              </w:tc>
              <w:tc>
                <w:tcPr>
                  <w:tcW w:w="2554"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80m</w:t>
                  </w:r>
                  <w:r w:rsidRPr="00F215B6">
                    <w:rPr>
                      <w:rFonts w:ascii="Arial" w:eastAsia="Times New Roman" w:hAnsi="Arial" w:cs="Arial"/>
                      <w:sz w:val="20"/>
                      <w:szCs w:val="20"/>
                      <w:vertAlign w:val="superscript"/>
                      <w:lang w:eastAsia="en-AU"/>
                    </w:rPr>
                    <w:t>2</w:t>
                  </w:r>
                </w:p>
              </w:tc>
            </w:tr>
            <w:tr w:rsidR="00A31CFF" w:rsidRPr="00F215B6" w:rsidTr="007849E7">
              <w:trPr>
                <w:tblCellSpacing w:w="15" w:type="dxa"/>
              </w:trPr>
              <w:tc>
                <w:tcPr>
                  <w:tcW w:w="2392"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Greater than 2000m</w:t>
                  </w:r>
                  <w:r w:rsidRPr="00F215B6">
                    <w:rPr>
                      <w:rFonts w:ascii="Arial" w:eastAsia="Times New Roman" w:hAnsi="Arial" w:cs="Arial"/>
                      <w:sz w:val="20"/>
                      <w:szCs w:val="20"/>
                      <w:vertAlign w:val="superscript"/>
                      <w:lang w:eastAsia="en-AU"/>
                    </w:rPr>
                    <w:t>2</w:t>
                  </w:r>
                </w:p>
              </w:tc>
              <w:tc>
                <w:tcPr>
                  <w:tcW w:w="2554" w:type="pct"/>
                  <w:tcBorders>
                    <w:top w:val="outset" w:sz="6" w:space="0" w:color="auto"/>
                    <w:left w:val="outset" w:sz="6" w:space="0" w:color="auto"/>
                    <w:bottom w:val="outset" w:sz="6" w:space="0" w:color="auto"/>
                    <w:right w:val="outset" w:sz="6" w:space="0" w:color="auto"/>
                  </w:tcBorders>
                  <w:shd w:val="clear" w:color="auto" w:fill="FFFFFF"/>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150m</w:t>
                  </w:r>
                  <w:r w:rsidRPr="00F215B6">
                    <w:rPr>
                      <w:rFonts w:ascii="Arial" w:eastAsia="Times New Roman" w:hAnsi="Arial" w:cs="Arial"/>
                      <w:sz w:val="20"/>
                      <w:szCs w:val="20"/>
                      <w:vertAlign w:val="superscript"/>
                      <w:lang w:eastAsia="en-AU"/>
                    </w:rPr>
                    <w:t>2</w:t>
                  </w:r>
                </w:p>
              </w:tc>
            </w:tr>
          </w:tbl>
          <w:p w:rsidR="00A31CFF" w:rsidRPr="00F215B6" w:rsidRDefault="00A31CFF" w:rsidP="00C904A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have a maximum building height of 4m and a mean height not exceeding 3.5m;</w:t>
            </w:r>
          </w:p>
          <w:p w:rsidR="00A31CFF" w:rsidRPr="00F215B6" w:rsidRDefault="00A31CFF" w:rsidP="00C904A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are located behind the main building line and not within primary or secondary frontage setbacks.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6"/>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These requirements apply to all Class 10a buildings and structures as defined by the Building code of Australia.</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This is a quantifiable standard that relates to matters identified in Schedule 9, Part 3, Division 2, Table of Regulation. Non-compliance with this provision for a Dwelling house</w:t>
                  </w:r>
                  <w:r w:rsidRPr="00F215B6">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requires a concurrence agency response from Council. </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This is a quantifiable standard that is an alternative provision to the QDC, part MP1.1, A4 and part MP1.2, A4. Non-compliance with this provision for a Dwelling house (22) requires a concurrence agency response from Council. </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This is a quantifiable standard that is an alternative provision to the QDC, part MP1.1, A1 (a), (b) and (c), A2 (a), (b) and (d) and part MP1.2, A1 (a), (b) and (c), A2 (a), (b) and (d). Non-compliance with this provision for a Dwelling house(22) requires a concurrence agency response from Council. Note - Greater setbacks may be required if the lot adjoins an environmental corridor or area (Refer to values and constraints for details).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575"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21" w:type="pct"/>
            <w:tcBorders>
              <w:top w:val="outset" w:sz="6" w:space="0" w:color="auto"/>
              <w:left w:val="outset" w:sz="6" w:space="0" w:color="auto"/>
              <w:bottom w:val="outset" w:sz="6" w:space="0" w:color="auto"/>
              <w:right w:val="outset" w:sz="6" w:space="0" w:color="auto"/>
            </w:tcBorders>
            <w:shd w:val="clear" w:color="auto" w:fill="FFFFFF"/>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bl>
    <w:p w:rsidR="00AD5793" w:rsidRPr="00F215B6" w:rsidRDefault="00AD5793" w:rsidP="00C904A8">
      <w:pPr>
        <w:spacing w:before="100" w:beforeAutospacing="1" w:after="100" w:afterAutospacing="1" w:line="240" w:lineRule="auto"/>
        <w:rPr>
          <w:rFonts w:ascii="Arial" w:hAnsi="Arial" w:cs="Arial"/>
          <w:sz w:val="20"/>
          <w:szCs w:val="20"/>
        </w:rPr>
      </w:pPr>
    </w:p>
    <w:tbl>
      <w:tblPr>
        <w:tblW w:w="5058" w:type="pct"/>
        <w:tblCellSpacing w:w="15"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28"/>
        <w:gridCol w:w="454"/>
        <w:gridCol w:w="7734"/>
        <w:gridCol w:w="2540"/>
        <w:gridCol w:w="3202"/>
        <w:gridCol w:w="410"/>
      </w:tblGrid>
      <w:tr w:rsidR="00F215B6" w:rsidRPr="00F215B6" w:rsidTr="007849E7">
        <w:trPr>
          <w:gridAfter w:val="1"/>
          <w:wAfter w:w="109" w:type="pct"/>
          <w:tblCellSpacing w:w="15" w:type="dxa"/>
        </w:trPr>
        <w:tc>
          <w:tcPr>
            <w:tcW w:w="4863"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215B6" w:rsidRPr="00F215B6" w:rsidRDefault="00F215B6" w:rsidP="00C904A8">
            <w:pPr>
              <w:spacing w:before="100" w:beforeAutospacing="1" w:after="100" w:afterAutospacing="1" w:line="240" w:lineRule="auto"/>
              <w:ind w:left="150" w:right="150"/>
              <w:jc w:val="center"/>
              <w:rPr>
                <w:rFonts w:ascii="Arial" w:eastAsia="Times New Roman" w:hAnsi="Arial" w:cs="Arial"/>
                <w:sz w:val="20"/>
                <w:szCs w:val="20"/>
                <w:lang w:eastAsia="en-AU"/>
              </w:rPr>
            </w:pPr>
            <w:r w:rsidRPr="00F215B6">
              <w:rPr>
                <w:rFonts w:ascii="Arial" w:eastAsia="Times New Roman" w:hAnsi="Arial" w:cs="Arial"/>
                <w:b/>
                <w:bCs/>
                <w:sz w:val="20"/>
                <w:szCs w:val="20"/>
                <w:lang w:eastAsia="en-AU"/>
              </w:rPr>
              <w:t>Values and constraints requirements</w:t>
            </w:r>
          </w:p>
          <w:tbl>
            <w:tblPr>
              <w:tblW w:w="15608" w:type="dxa"/>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608"/>
            </w:tblGrid>
            <w:tr w:rsidR="00F215B6" w:rsidRPr="00F215B6" w:rsidTr="007849E7">
              <w:trPr>
                <w:tblCellSpacing w:w="15" w:type="dxa"/>
                <w:jc w:val="center"/>
              </w:trPr>
              <w:tc>
                <w:tcPr>
                  <w:tcW w:w="15548" w:type="dxa"/>
                  <w:shd w:val="clear" w:color="auto" w:fill="CCCCCC"/>
                  <w:vAlign w:val="center"/>
                  <w:hideMark/>
                </w:tcPr>
                <w:p w:rsidR="00F215B6" w:rsidRPr="00F215B6" w:rsidRDefault="00F215B6"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F215B6" w:rsidRPr="00F215B6" w:rsidRDefault="00F215B6" w:rsidP="00C904A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7849E7" w:rsidRPr="00F215B6" w:rsidTr="007849E7">
        <w:trPr>
          <w:gridAfter w:val="1"/>
          <w:wAfter w:w="109" w:type="pct"/>
          <w:tblCellSpacing w:w="15" w:type="dxa"/>
        </w:trPr>
        <w:tc>
          <w:tcPr>
            <w:tcW w:w="4863"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8"/>
            </w:tblGrid>
            <w:tr w:rsidR="007849E7" w:rsidRPr="00F215B6" w:rsidTr="00A31CFF">
              <w:trPr>
                <w:tblCellSpacing w:w="15" w:type="dxa"/>
              </w:trPr>
              <w:tc>
                <w:tcPr>
                  <w:tcW w:w="15383" w:type="dxa"/>
                  <w:shd w:val="clear" w:color="auto" w:fill="CCCCCC"/>
                  <w:vAlign w:val="center"/>
                  <w:hideMark/>
                </w:tcPr>
                <w:p w:rsidR="007849E7" w:rsidRPr="00F215B6" w:rsidRDefault="007849E7"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F215B6">
                    <w:rPr>
                      <w:rFonts w:ascii="Arial" w:eastAsia="Times New Roman" w:hAnsi="Arial" w:cs="Arial"/>
                      <w:sz w:val="20"/>
                      <w:szCs w:val="20"/>
                      <w:vertAlign w:val="superscript"/>
                      <w:lang w:eastAsia="en-AU"/>
                    </w:rPr>
                    <w:t>3</w:t>
                  </w:r>
                  <w:r w:rsidRPr="00F215B6">
                    <w:rPr>
                      <w:rFonts w:ascii="Arial" w:eastAsia="Times New Roman" w:hAnsi="Arial" w:cs="Arial"/>
                      <w:sz w:val="20"/>
                      <w:szCs w:val="20"/>
                      <w:lang w:eastAsia="en-AU"/>
                    </w:rPr>
                    <w:t xml:space="preserve"> and 500m</w:t>
                  </w:r>
                  <w:r w:rsidRPr="00F215B6">
                    <w:rPr>
                      <w:rFonts w:ascii="Arial" w:eastAsia="Times New Roman" w:hAnsi="Arial" w:cs="Arial"/>
                      <w:sz w:val="20"/>
                      <w:szCs w:val="20"/>
                      <w:vertAlign w:val="superscript"/>
                      <w:lang w:eastAsia="en-AU"/>
                    </w:rPr>
                    <w:t>3</w:t>
                  </w:r>
                  <w:r w:rsidRPr="00F215B6">
                    <w:rPr>
                      <w:rFonts w:ascii="Arial" w:eastAsia="Times New Roman" w:hAnsi="Arial" w:cs="Arial"/>
                      <w:sz w:val="20"/>
                      <w:szCs w:val="20"/>
                      <w:lang w:eastAsia="en-AU"/>
                    </w:rPr>
                    <w:t xml:space="preserve"> respectively. </w:t>
                  </w:r>
                </w:p>
              </w:tc>
            </w:tr>
          </w:tbl>
          <w:p w:rsidR="007849E7" w:rsidRPr="00F215B6" w:rsidRDefault="007849E7"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E7" w:rsidRPr="00F215B6" w:rsidTr="007849E7">
        <w:trPr>
          <w:gridAfter w:val="1"/>
          <w:wAfter w:w="109" w:type="pct"/>
          <w:tblCellSpacing w:w="15" w:type="dxa"/>
        </w:trPr>
        <w:tc>
          <w:tcPr>
            <w:tcW w:w="41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RAD25</w:t>
            </w:r>
          </w:p>
        </w:tc>
        <w:tc>
          <w:tcPr>
            <w:tcW w:w="261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does not involve:</w:t>
            </w:r>
          </w:p>
          <w:p w:rsidR="00A31CFF" w:rsidRPr="00F215B6" w:rsidRDefault="00A31CFF" w:rsidP="00C904A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excavation or otherwise removing of more than 100m</w:t>
            </w:r>
            <w:r w:rsidRPr="00F215B6">
              <w:rPr>
                <w:rFonts w:ascii="Arial" w:eastAsia="Times New Roman" w:hAnsi="Arial" w:cs="Arial"/>
                <w:sz w:val="20"/>
                <w:szCs w:val="20"/>
                <w:vertAlign w:val="superscript"/>
                <w:lang w:eastAsia="en-AU"/>
              </w:rPr>
              <w:t>3</w:t>
            </w:r>
            <w:r w:rsidRPr="00F215B6">
              <w:rPr>
                <w:rFonts w:ascii="Arial" w:eastAsia="Times New Roman" w:hAnsi="Arial" w:cs="Arial"/>
                <w:sz w:val="20"/>
                <w:szCs w:val="20"/>
                <w:lang w:eastAsia="en-AU"/>
              </w:rPr>
              <w:t xml:space="preserve"> of soil or sediment where below 5m Australian Height Datum AHD, or </w:t>
            </w:r>
          </w:p>
          <w:p w:rsidR="00A31CFF" w:rsidRPr="00F215B6" w:rsidRDefault="00A31CFF" w:rsidP="00C904A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filling of land of more than 500m</w:t>
            </w:r>
            <w:r w:rsidRPr="00F215B6">
              <w:rPr>
                <w:rFonts w:ascii="Arial" w:eastAsia="Times New Roman" w:hAnsi="Arial" w:cs="Arial"/>
                <w:sz w:val="20"/>
                <w:szCs w:val="20"/>
                <w:vertAlign w:val="superscript"/>
                <w:lang w:eastAsia="en-AU"/>
              </w:rPr>
              <w:t>3</w:t>
            </w:r>
            <w:r w:rsidRPr="00F215B6">
              <w:rPr>
                <w:rFonts w:ascii="Arial" w:eastAsia="Times New Roman" w:hAnsi="Arial" w:cs="Arial"/>
                <w:sz w:val="20"/>
                <w:szCs w:val="20"/>
                <w:lang w:eastAsia="en-AU"/>
              </w:rPr>
              <w:t xml:space="preserve"> of material with an average depth of 0.5m or greater where below the 5m AHD.</w:t>
            </w:r>
          </w:p>
          <w:p w:rsidR="00A31CFF" w:rsidRPr="00F215B6" w:rsidRDefault="00A31CFF" w:rsidP="00C904A8">
            <w:pPr>
              <w:spacing w:before="100" w:beforeAutospacing="1" w:after="100" w:afterAutospacing="1" w:line="240" w:lineRule="auto"/>
              <w:ind w:left="450"/>
              <w:rPr>
                <w:rFonts w:ascii="Arial" w:eastAsia="Times New Roman" w:hAnsi="Arial" w:cs="Arial"/>
                <w:sz w:val="20"/>
                <w:szCs w:val="20"/>
                <w:lang w:eastAsia="en-AU"/>
              </w:rPr>
            </w:pPr>
          </w:p>
          <w:p w:rsidR="00A31CFF" w:rsidRPr="00F215B6" w:rsidRDefault="00AD5793"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drawing>
                <wp:anchor distT="0" distB="0" distL="114300" distR="114300" simplePos="0" relativeHeight="251644928" behindDoc="1" locked="0" layoutInCell="1" allowOverlap="1" wp14:anchorId="29B91A77" wp14:editId="3D390A97">
                  <wp:simplePos x="0" y="0"/>
                  <wp:positionH relativeFrom="column">
                    <wp:posOffset>-352425</wp:posOffset>
                  </wp:positionH>
                  <wp:positionV relativeFrom="paragraph">
                    <wp:posOffset>-266700</wp:posOffset>
                  </wp:positionV>
                  <wp:extent cx="4857750" cy="2047875"/>
                  <wp:effectExtent l="0" t="0" r="0" b="9525"/>
                  <wp:wrapTight wrapText="bothSides">
                    <wp:wrapPolygon edited="0">
                      <wp:start x="0" y="0"/>
                      <wp:lineTo x="0" y="21500"/>
                      <wp:lineTo x="21515" y="21500"/>
                      <wp:lineTo x="21515" y="0"/>
                      <wp:lineTo x="0" y="0"/>
                    </wp:wrapPolygon>
                  </wp:wrapTight>
                  <wp:docPr id="13" name="Picture 13"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iggers diagra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AD5793"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AD5793" w:rsidRPr="00F215B6" w:rsidRDefault="00AD5793"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78"/>
            </w:tblGrid>
            <w:tr w:rsidR="00AD5793" w:rsidRPr="00F215B6" w:rsidTr="00A31CFF">
              <w:trPr>
                <w:tblCellSpacing w:w="15" w:type="dxa"/>
              </w:trPr>
              <w:tc>
                <w:tcPr>
                  <w:tcW w:w="15383" w:type="dxa"/>
                  <w:shd w:val="clear" w:color="auto" w:fill="CCCCCC"/>
                  <w:vAlign w:val="center"/>
                  <w:hideMark/>
                </w:tcPr>
                <w:p w:rsidR="00AD5793" w:rsidRPr="00F215B6" w:rsidRDefault="00AD5793"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The following are excluded from the native clearing provisions of this planning scheme:</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Clearing of native vegetation located within an approved development footprint;</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Grazing of native pasture by stock;</w:t>
                  </w:r>
                </w:p>
                <w:p w:rsidR="00AD5793" w:rsidRPr="00F215B6" w:rsidRDefault="00AD5793" w:rsidP="00C904A8">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Native forest practice where accepted development under Part 1, 1.7.7 Accepted development.</w:t>
                  </w:r>
                </w:p>
              </w:tc>
            </w:tr>
            <w:tr w:rsidR="00AD5793" w:rsidRPr="00F215B6" w:rsidTr="00A31CFF">
              <w:trPr>
                <w:tblCellSpacing w:w="15" w:type="dxa"/>
              </w:trPr>
              <w:tc>
                <w:tcPr>
                  <w:tcW w:w="15383" w:type="dxa"/>
                  <w:shd w:val="clear" w:color="auto" w:fill="CCCCCC"/>
                  <w:vAlign w:val="center"/>
                  <w:hideMark/>
                </w:tcPr>
                <w:p w:rsidR="00AD5793" w:rsidRPr="00F215B6" w:rsidRDefault="00AD5793"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Note - Definition for native vegetation is located in Schedule 1 Definitions.</w:t>
                  </w:r>
                </w:p>
              </w:tc>
            </w:tr>
          </w:tbl>
          <w:p w:rsidR="00AD5793" w:rsidRPr="00F215B6" w:rsidRDefault="00AD5793"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78"/>
            </w:tblGrid>
            <w:tr w:rsidR="00AD5793" w:rsidRPr="00F215B6" w:rsidTr="00A31CFF">
              <w:trPr>
                <w:tblCellSpacing w:w="15" w:type="dxa"/>
              </w:trPr>
              <w:tc>
                <w:tcPr>
                  <w:tcW w:w="15383" w:type="dxa"/>
                  <w:shd w:val="clear" w:color="auto" w:fill="CCCCCC"/>
                  <w:vAlign w:val="center"/>
                  <w:hideMark/>
                </w:tcPr>
                <w:p w:rsidR="00AD5793" w:rsidRPr="00F215B6" w:rsidRDefault="00AD5793"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AD5793" w:rsidRPr="00F215B6" w:rsidRDefault="00AD5793"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AD5793" w:rsidRPr="00F215B6" w:rsidRDefault="00AD5793"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Editors' Note - When clearing native vegetation within a MSES area, you may still require approval from the State government.</w:t>
                  </w:r>
                </w:p>
              </w:tc>
            </w:tr>
          </w:tbl>
          <w:p w:rsidR="00AD5793" w:rsidRPr="00F215B6" w:rsidRDefault="00AD5793"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RAD26</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215B6">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or extension to an existing dwelling house</w:t>
            </w:r>
            <w:r w:rsidRPr="00F215B6">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only on lots less than 750m</w:t>
            </w:r>
            <w:r w:rsidRPr="00F215B6">
              <w:rPr>
                <w:rFonts w:ascii="Arial" w:eastAsia="Times New Roman" w:hAnsi="Arial" w:cs="Arial"/>
                <w:sz w:val="20"/>
                <w:szCs w:val="20"/>
                <w:vertAlign w:val="superscript"/>
                <w:lang w:eastAsia="en-AU"/>
              </w:rPr>
              <w:t>2</w:t>
            </w:r>
            <w:r w:rsidRPr="00F215B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Editor's note - See in heading above for other uses excluded from native vegetation clearing requirements.</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A31CFF" w:rsidRPr="00F215B6" w:rsidRDefault="00A31CFF" w:rsidP="00C904A8">
                  <w:pPr>
                    <w:numPr>
                      <w:ilvl w:val="0"/>
                      <w:numId w:val="21"/>
                    </w:numPr>
                    <w:spacing w:before="100" w:beforeAutospacing="1" w:after="100" w:afterAutospacing="1" w:line="240" w:lineRule="auto"/>
                    <w:ind w:left="450" w:hanging="172"/>
                    <w:rPr>
                      <w:rFonts w:ascii="Arial" w:eastAsia="Times New Roman" w:hAnsi="Arial" w:cs="Arial"/>
                      <w:sz w:val="20"/>
                      <w:szCs w:val="20"/>
                      <w:lang w:eastAsia="en-AU"/>
                    </w:rPr>
                  </w:pPr>
                  <w:r w:rsidRPr="00F215B6">
                    <w:rPr>
                      <w:rFonts w:ascii="Arial" w:eastAsia="Times New Roman" w:hAnsi="Arial" w:cs="Arial"/>
                      <w:sz w:val="20"/>
                      <w:szCs w:val="20"/>
                      <w:lang w:eastAsia="en-AU"/>
                    </w:rPr>
                    <w:t>co-locating all associated activities, infrastructure and access strips;</w:t>
                  </w:r>
                </w:p>
                <w:p w:rsidR="00A31CFF" w:rsidRPr="00F215B6" w:rsidRDefault="00A31CFF" w:rsidP="00C904A8">
                  <w:pPr>
                    <w:numPr>
                      <w:ilvl w:val="0"/>
                      <w:numId w:val="21"/>
                    </w:numPr>
                    <w:spacing w:before="100" w:beforeAutospacing="1" w:after="100" w:afterAutospacing="1" w:line="240" w:lineRule="auto"/>
                    <w:ind w:left="450" w:hanging="172"/>
                    <w:rPr>
                      <w:rFonts w:ascii="Arial" w:eastAsia="Times New Roman" w:hAnsi="Arial" w:cs="Arial"/>
                      <w:sz w:val="20"/>
                      <w:szCs w:val="20"/>
                      <w:lang w:eastAsia="en-AU"/>
                    </w:rPr>
                  </w:pPr>
                  <w:r w:rsidRPr="00F215B6">
                    <w:rPr>
                      <w:rFonts w:ascii="Arial" w:eastAsia="Times New Roman" w:hAnsi="Arial" w:cs="Arial"/>
                      <w:sz w:val="20"/>
                      <w:szCs w:val="20"/>
                      <w:lang w:eastAsia="en-AU"/>
                    </w:rPr>
                    <w:t>be the least valued area of koala habitat on the site;</w:t>
                  </w:r>
                </w:p>
                <w:p w:rsidR="00A31CFF" w:rsidRPr="00F215B6" w:rsidRDefault="00A31CFF" w:rsidP="00C904A8">
                  <w:pPr>
                    <w:numPr>
                      <w:ilvl w:val="0"/>
                      <w:numId w:val="21"/>
                    </w:numPr>
                    <w:spacing w:before="100" w:beforeAutospacing="1" w:after="100" w:afterAutospacing="1" w:line="240" w:lineRule="auto"/>
                    <w:ind w:left="450" w:hanging="172"/>
                    <w:rPr>
                      <w:rFonts w:ascii="Arial" w:eastAsia="Times New Roman" w:hAnsi="Arial" w:cs="Arial"/>
                      <w:sz w:val="20"/>
                      <w:szCs w:val="20"/>
                      <w:lang w:eastAsia="en-AU"/>
                    </w:rPr>
                  </w:pPr>
                  <w:r w:rsidRPr="00F215B6">
                    <w:rPr>
                      <w:rFonts w:ascii="Arial" w:eastAsia="Times New Roman" w:hAnsi="Arial" w:cs="Arial"/>
                      <w:sz w:val="20"/>
                      <w:szCs w:val="20"/>
                      <w:lang w:eastAsia="en-AU"/>
                    </w:rPr>
                    <w:t>minimise the footprint of the development envelope area;</w:t>
                  </w:r>
                </w:p>
                <w:p w:rsidR="00A31CFF" w:rsidRPr="00F215B6" w:rsidRDefault="00A31CFF" w:rsidP="00C904A8">
                  <w:pPr>
                    <w:numPr>
                      <w:ilvl w:val="0"/>
                      <w:numId w:val="21"/>
                    </w:numPr>
                    <w:spacing w:before="100" w:beforeAutospacing="1" w:after="100" w:afterAutospacing="1" w:line="240" w:lineRule="auto"/>
                    <w:ind w:left="450" w:hanging="172"/>
                    <w:rPr>
                      <w:rFonts w:ascii="Arial" w:eastAsia="Times New Roman" w:hAnsi="Arial" w:cs="Arial"/>
                      <w:sz w:val="20"/>
                      <w:szCs w:val="20"/>
                      <w:lang w:eastAsia="en-AU"/>
                    </w:rPr>
                  </w:pPr>
                  <w:r w:rsidRPr="00F215B6">
                    <w:rPr>
                      <w:rFonts w:ascii="Arial" w:eastAsia="Times New Roman" w:hAnsi="Arial" w:cs="Arial"/>
                      <w:sz w:val="20"/>
                      <w:szCs w:val="20"/>
                      <w:lang w:eastAsia="en-AU"/>
                    </w:rPr>
                    <w:t>minimise edge effects to areas external to the development envelope;</w:t>
                  </w:r>
                </w:p>
                <w:p w:rsidR="00A31CFF" w:rsidRPr="00F215B6" w:rsidRDefault="00A31CFF" w:rsidP="00C904A8">
                  <w:pPr>
                    <w:numPr>
                      <w:ilvl w:val="0"/>
                      <w:numId w:val="21"/>
                    </w:numPr>
                    <w:spacing w:before="100" w:beforeAutospacing="1" w:after="100" w:afterAutospacing="1" w:line="240" w:lineRule="auto"/>
                    <w:ind w:left="450" w:hanging="172"/>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A31CFF" w:rsidRPr="00F215B6" w:rsidRDefault="00A31CFF" w:rsidP="00C904A8">
                  <w:pPr>
                    <w:numPr>
                      <w:ilvl w:val="0"/>
                      <w:numId w:val="21"/>
                    </w:numPr>
                    <w:spacing w:before="100" w:beforeAutospacing="1" w:after="100" w:afterAutospacing="1" w:line="240" w:lineRule="auto"/>
                    <w:ind w:left="450" w:hanging="172"/>
                    <w:rPr>
                      <w:rFonts w:ascii="Arial" w:eastAsia="Times New Roman" w:hAnsi="Arial" w:cs="Arial"/>
                      <w:sz w:val="20"/>
                      <w:szCs w:val="20"/>
                      <w:lang w:eastAsia="en-AU"/>
                    </w:rPr>
                  </w:pPr>
                  <w:r w:rsidRPr="00F215B6">
                    <w:rPr>
                      <w:rFonts w:ascii="Arial" w:eastAsia="Times New Roman" w:hAnsi="Arial" w:cs="Arial"/>
                      <w:sz w:val="20"/>
                      <w:szCs w:val="20"/>
                      <w:lang w:eastAsia="en-AU"/>
                    </w:rPr>
                    <w:t>sufficient area between the development and koala habitat trees to achieve their long-term viability.</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w:t>
                  </w:r>
                  <w:r w:rsidRPr="00F215B6">
                    <w:rPr>
                      <w:rFonts w:ascii="Arial" w:eastAsia="Times New Roman" w:hAnsi="Arial" w:cs="Arial"/>
                      <w:sz w:val="20"/>
                      <w:szCs w:val="20"/>
                      <w:lang w:eastAsia="en-AU"/>
                    </w:rPr>
                    <w:lastRenderedPageBreak/>
                    <w:t xml:space="preserve">and nesting opportunities for local wildlife including sugar gliders, possums and owls. For further information see Planning scheme policy – Environmental areas.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RAD27</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This does not apply to the following:</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Clearing of native vegetation located within an approved development footprint;</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Grazing of native pasture by stock;</w:t>
            </w:r>
          </w:p>
          <w:p w:rsidR="00A31CFF" w:rsidRPr="00F215B6" w:rsidRDefault="00A31CFF" w:rsidP="00C904A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Native forest practice where accepted development under Part 1, 1.7.7 Accepted development.</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C904A8"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RAD28</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does not result in more than one dwelling house</w:t>
            </w:r>
            <w:r w:rsidRPr="00F215B6">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per lot within separation areas.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RAD29</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within the separation area does not include the following uses:</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caretaker's accommodation</w:t>
            </w:r>
            <w:r w:rsidRPr="00F215B6">
              <w:rPr>
                <w:rFonts w:ascii="Arial" w:eastAsia="Times New Roman" w:hAnsi="Arial" w:cs="Arial"/>
                <w:sz w:val="20"/>
                <w:szCs w:val="20"/>
                <w:vertAlign w:val="superscript"/>
                <w:lang w:eastAsia="en-AU"/>
              </w:rPr>
              <w:t>(</w:t>
            </w:r>
            <w:hyperlink r:id="rId39" w:anchor="target-d60297e447244" w:tooltip="Caretaker’s accommodation - A dwelling provided for a caretaker of a non-residential use on the same premises." w:history="1">
              <w:r w:rsidRPr="00F215B6">
                <w:rPr>
                  <w:rFonts w:ascii="Arial" w:eastAsia="Times New Roman" w:hAnsi="Arial" w:cs="Arial"/>
                  <w:color w:val="0000FF"/>
                  <w:sz w:val="20"/>
                  <w:szCs w:val="20"/>
                  <w:vertAlign w:val="superscript"/>
                  <w:lang w:eastAsia="en-AU"/>
                </w:rPr>
                <w:t>10</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community residence</w:t>
            </w:r>
            <w:r w:rsidRPr="00F215B6">
              <w:rPr>
                <w:rFonts w:ascii="Arial" w:eastAsia="Times New Roman" w:hAnsi="Arial" w:cs="Arial"/>
                <w:sz w:val="20"/>
                <w:szCs w:val="20"/>
                <w:vertAlign w:val="superscript"/>
                <w:lang w:eastAsia="en-AU"/>
              </w:rPr>
              <w:t>(</w:t>
            </w:r>
            <w:hyperlink r:id="rId4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215B6">
                <w:rPr>
                  <w:rFonts w:ascii="Arial" w:eastAsia="Times New Roman" w:hAnsi="Arial" w:cs="Arial"/>
                  <w:color w:val="0000FF"/>
                  <w:sz w:val="20"/>
                  <w:szCs w:val="20"/>
                  <w:vertAlign w:val="superscript"/>
                  <w:lang w:eastAsia="en-AU"/>
                </w:rPr>
                <w:t>16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dual occupancy</w:t>
            </w:r>
            <w:r w:rsidRPr="00F215B6">
              <w:rPr>
                <w:rFonts w:ascii="Arial" w:eastAsia="Times New Roman" w:hAnsi="Arial" w:cs="Arial"/>
                <w:sz w:val="20"/>
                <w:szCs w:val="20"/>
                <w:vertAlign w:val="superscript"/>
                <w:lang w:eastAsia="en-AU"/>
              </w:rPr>
              <w:t>(</w:t>
            </w:r>
            <w:hyperlink r:id="rId4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215B6">
                <w:rPr>
                  <w:rFonts w:ascii="Arial" w:eastAsia="Times New Roman" w:hAnsi="Arial" w:cs="Arial"/>
                  <w:color w:val="0000FF"/>
                  <w:sz w:val="20"/>
                  <w:szCs w:val="20"/>
                  <w:vertAlign w:val="superscript"/>
                  <w:lang w:eastAsia="en-AU"/>
                </w:rPr>
                <w:t>21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dwelling unit</w:t>
            </w:r>
            <w:r w:rsidRPr="00F215B6">
              <w:rPr>
                <w:rFonts w:ascii="Arial" w:eastAsia="Times New Roman" w:hAnsi="Arial" w:cs="Arial"/>
                <w:sz w:val="20"/>
                <w:szCs w:val="20"/>
                <w:vertAlign w:val="superscript"/>
                <w:lang w:eastAsia="en-AU"/>
              </w:rPr>
              <w:t>(</w:t>
            </w:r>
            <w:hyperlink r:id="rId42" w:anchor="target-d60297e447532" w:tooltip="Dwelling unit - A single dwelling within a premises containing non residential use(s)." w:history="1">
              <w:r w:rsidRPr="00F215B6">
                <w:rPr>
                  <w:rFonts w:ascii="Arial" w:eastAsia="Times New Roman" w:hAnsi="Arial" w:cs="Arial"/>
                  <w:color w:val="0000FF"/>
                  <w:sz w:val="20"/>
                  <w:szCs w:val="20"/>
                  <w:vertAlign w:val="superscript"/>
                  <w:lang w:eastAsia="en-AU"/>
                </w:rPr>
                <w:t>23</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hospital</w:t>
            </w:r>
            <w:r w:rsidRPr="00F215B6">
              <w:rPr>
                <w:rFonts w:ascii="Arial" w:eastAsia="Times New Roman" w:hAnsi="Arial" w:cs="Arial"/>
                <w:sz w:val="20"/>
                <w:szCs w:val="20"/>
                <w:vertAlign w:val="superscript"/>
                <w:lang w:eastAsia="en-AU"/>
              </w:rPr>
              <w:t>(</w:t>
            </w:r>
            <w:hyperlink r:id="rId4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215B6">
                <w:rPr>
                  <w:rFonts w:ascii="Arial" w:eastAsia="Times New Roman" w:hAnsi="Arial" w:cs="Arial"/>
                  <w:color w:val="0000FF"/>
                  <w:sz w:val="20"/>
                  <w:szCs w:val="20"/>
                  <w:vertAlign w:val="superscript"/>
                  <w:lang w:eastAsia="en-AU"/>
                </w:rPr>
                <w:t>36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rooming accommodation</w:t>
            </w:r>
            <w:r w:rsidRPr="00F215B6">
              <w:rPr>
                <w:rFonts w:ascii="Arial" w:eastAsia="Times New Roman" w:hAnsi="Arial" w:cs="Arial"/>
                <w:sz w:val="20"/>
                <w:szCs w:val="20"/>
                <w:vertAlign w:val="superscript"/>
                <w:lang w:eastAsia="en-AU"/>
              </w:rPr>
              <w:t>(</w:t>
            </w:r>
            <w:hyperlink r:id="rId4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15B6">
                <w:rPr>
                  <w:rFonts w:ascii="Arial" w:eastAsia="Times New Roman" w:hAnsi="Arial" w:cs="Arial"/>
                  <w:color w:val="0000FF"/>
                  <w:sz w:val="20"/>
                  <w:szCs w:val="20"/>
                  <w:vertAlign w:val="superscript"/>
                  <w:lang w:eastAsia="en-AU"/>
                </w:rPr>
                <w:t>69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multiple dwelling</w:t>
            </w:r>
            <w:r w:rsidRPr="00F215B6">
              <w:rPr>
                <w:rFonts w:ascii="Arial" w:eastAsia="Times New Roman" w:hAnsi="Arial" w:cs="Arial"/>
                <w:sz w:val="20"/>
                <w:szCs w:val="20"/>
                <w:vertAlign w:val="superscript"/>
                <w:lang w:eastAsia="en-AU"/>
              </w:rPr>
              <w:t>(</w:t>
            </w:r>
            <w:hyperlink r:id="rId45" w:anchor="target-d60297e448163" w:tooltip="Multiple dwelling - Premises containing three or more dwellings for separate households." w:history="1">
              <w:r w:rsidRPr="00F215B6">
                <w:rPr>
                  <w:rFonts w:ascii="Arial" w:eastAsia="Times New Roman" w:hAnsi="Arial" w:cs="Arial"/>
                  <w:color w:val="0000FF"/>
                  <w:sz w:val="20"/>
                  <w:szCs w:val="20"/>
                  <w:vertAlign w:val="superscript"/>
                  <w:lang w:eastAsia="en-AU"/>
                </w:rPr>
                <w:t>49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non-resident workforce accommodation</w:t>
            </w:r>
            <w:r w:rsidRPr="00F215B6">
              <w:rPr>
                <w:rFonts w:ascii="Arial" w:eastAsia="Times New Roman" w:hAnsi="Arial" w:cs="Arial"/>
                <w:sz w:val="20"/>
                <w:szCs w:val="20"/>
                <w:vertAlign w:val="superscript"/>
                <w:lang w:eastAsia="en-AU"/>
              </w:rPr>
              <w:t>(</w:t>
            </w:r>
            <w:hyperlink r:id="rId4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215B6">
                <w:rPr>
                  <w:rFonts w:ascii="Arial" w:eastAsia="Times New Roman" w:hAnsi="Arial" w:cs="Arial"/>
                  <w:color w:val="0000FF"/>
                  <w:sz w:val="20"/>
                  <w:szCs w:val="20"/>
                  <w:vertAlign w:val="superscript"/>
                  <w:lang w:eastAsia="en-AU"/>
                </w:rPr>
                <w:t>52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relocatable home park</w:t>
            </w:r>
            <w:r w:rsidRPr="00F215B6">
              <w:rPr>
                <w:rFonts w:ascii="Arial" w:eastAsia="Times New Roman" w:hAnsi="Arial" w:cs="Arial"/>
                <w:sz w:val="20"/>
                <w:szCs w:val="20"/>
                <w:vertAlign w:val="superscript"/>
                <w:lang w:eastAsia="en-AU"/>
              </w:rPr>
              <w:t>(</w:t>
            </w:r>
            <w:hyperlink r:id="rId4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15B6">
                <w:rPr>
                  <w:rFonts w:ascii="Arial" w:eastAsia="Times New Roman" w:hAnsi="Arial" w:cs="Arial"/>
                  <w:color w:val="0000FF"/>
                  <w:sz w:val="20"/>
                  <w:szCs w:val="20"/>
                  <w:vertAlign w:val="superscript"/>
                  <w:lang w:eastAsia="en-AU"/>
                </w:rPr>
                <w:t>62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residential care facility</w:t>
            </w:r>
            <w:r w:rsidRPr="00F215B6">
              <w:rPr>
                <w:rFonts w:ascii="Arial" w:eastAsia="Times New Roman" w:hAnsi="Arial" w:cs="Arial"/>
                <w:sz w:val="20"/>
                <w:szCs w:val="20"/>
                <w:vertAlign w:val="superscript"/>
                <w:lang w:eastAsia="en-AU"/>
              </w:rPr>
              <w:t>(</w:t>
            </w:r>
            <w:hyperlink r:id="rId4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15B6">
                <w:rPr>
                  <w:rFonts w:ascii="Arial" w:eastAsia="Times New Roman" w:hAnsi="Arial" w:cs="Arial"/>
                  <w:color w:val="0000FF"/>
                  <w:sz w:val="20"/>
                  <w:szCs w:val="20"/>
                  <w:vertAlign w:val="superscript"/>
                  <w:lang w:eastAsia="en-AU"/>
                </w:rPr>
                <w:t>65</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resort complex</w:t>
            </w:r>
            <w:r w:rsidRPr="00F215B6">
              <w:rPr>
                <w:rFonts w:ascii="Arial" w:eastAsia="Times New Roman" w:hAnsi="Arial" w:cs="Arial"/>
                <w:sz w:val="20"/>
                <w:szCs w:val="20"/>
                <w:vertAlign w:val="superscript"/>
                <w:lang w:eastAsia="en-AU"/>
              </w:rPr>
              <w:t>(</w:t>
            </w:r>
            <w:hyperlink r:id="rId4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215B6">
                <w:rPr>
                  <w:rFonts w:ascii="Arial" w:eastAsia="Times New Roman" w:hAnsi="Arial" w:cs="Arial"/>
                  <w:color w:val="0000FF"/>
                  <w:sz w:val="20"/>
                  <w:szCs w:val="20"/>
                  <w:vertAlign w:val="superscript"/>
                  <w:lang w:eastAsia="en-AU"/>
                </w:rPr>
                <w:t>66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retirement facility</w:t>
            </w:r>
            <w:r w:rsidRPr="00F215B6">
              <w:rPr>
                <w:rFonts w:ascii="Arial" w:eastAsia="Times New Roman" w:hAnsi="Arial" w:cs="Arial"/>
                <w:sz w:val="20"/>
                <w:szCs w:val="20"/>
                <w:vertAlign w:val="superscript"/>
                <w:lang w:eastAsia="en-AU"/>
              </w:rPr>
              <w:t>(</w:t>
            </w:r>
            <w:hyperlink r:id="rId5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15B6">
                <w:rPr>
                  <w:rFonts w:ascii="Arial" w:eastAsia="Times New Roman" w:hAnsi="Arial" w:cs="Arial"/>
                  <w:color w:val="0000FF"/>
                  <w:sz w:val="20"/>
                  <w:szCs w:val="20"/>
                  <w:vertAlign w:val="superscript"/>
                  <w:lang w:eastAsia="en-AU"/>
                </w:rPr>
                <w:t>67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rural workers’ accommodation</w:t>
            </w:r>
            <w:r w:rsidRPr="00F215B6">
              <w:rPr>
                <w:rFonts w:ascii="Arial" w:eastAsia="Times New Roman" w:hAnsi="Arial" w:cs="Arial"/>
                <w:sz w:val="20"/>
                <w:szCs w:val="20"/>
                <w:vertAlign w:val="superscript"/>
                <w:lang w:eastAsia="en-AU"/>
              </w:rPr>
              <w:t>(</w:t>
            </w:r>
            <w:hyperlink r:id="rId5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215B6">
                <w:rPr>
                  <w:rFonts w:ascii="Arial" w:eastAsia="Times New Roman" w:hAnsi="Arial" w:cs="Arial"/>
                  <w:color w:val="0000FF"/>
                  <w:sz w:val="20"/>
                  <w:szCs w:val="20"/>
                  <w:vertAlign w:val="superscript"/>
                  <w:lang w:eastAsia="en-AU"/>
                </w:rPr>
                <w:t>71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short-term accommodation</w:t>
            </w:r>
            <w:r w:rsidRPr="00F215B6">
              <w:rPr>
                <w:rFonts w:ascii="Arial" w:eastAsia="Times New Roman" w:hAnsi="Arial" w:cs="Arial"/>
                <w:sz w:val="20"/>
                <w:szCs w:val="20"/>
                <w:vertAlign w:val="superscript"/>
                <w:lang w:eastAsia="en-AU"/>
              </w:rPr>
              <w:t>(</w:t>
            </w:r>
            <w:hyperlink r:id="rId5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15B6">
                <w:rPr>
                  <w:rFonts w:ascii="Arial" w:eastAsia="Times New Roman" w:hAnsi="Arial" w:cs="Arial"/>
                  <w:color w:val="0000FF"/>
                  <w:sz w:val="20"/>
                  <w:szCs w:val="20"/>
                  <w:vertAlign w:val="superscript"/>
                  <w:lang w:eastAsia="en-AU"/>
                </w:rPr>
                <w:t>77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tourist park</w:t>
            </w:r>
            <w:r w:rsidRPr="00F215B6">
              <w:rPr>
                <w:rFonts w:ascii="Arial" w:eastAsia="Times New Roman" w:hAnsi="Arial" w:cs="Arial"/>
                <w:sz w:val="20"/>
                <w:szCs w:val="20"/>
                <w:vertAlign w:val="superscript"/>
                <w:lang w:eastAsia="en-AU"/>
              </w:rPr>
              <w:t>(</w:t>
            </w:r>
            <w:hyperlink r:id="rId5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215B6">
                <w:rPr>
                  <w:rFonts w:ascii="Arial" w:eastAsia="Times New Roman" w:hAnsi="Arial" w:cs="Arial"/>
                  <w:color w:val="0000FF"/>
                  <w:sz w:val="20"/>
                  <w:szCs w:val="20"/>
                  <w:vertAlign w:val="superscript"/>
                  <w:lang w:eastAsia="en-AU"/>
                </w:rPr>
                <w:t>84</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RAD30</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All habitable rooms within the separation area are:</w:t>
            </w:r>
          </w:p>
          <w:p w:rsidR="00A31CFF" w:rsidRPr="00F215B6" w:rsidRDefault="00A31CFF" w:rsidP="00C904A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A31CFF" w:rsidRPr="00F215B6" w:rsidRDefault="00A31CFF" w:rsidP="00C904A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provided with mechanical ventilation.</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rHeight w:val="360"/>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RAD31</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Private open space areas are separated from the resource processing area by buildings or a 1.8m high solid structure.</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C904A8"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RAD32</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The following uses are not located within the 100m wide transport route buffer:</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Caretaker’s accommodation</w:t>
            </w:r>
            <w:r w:rsidRPr="00F215B6">
              <w:rPr>
                <w:rFonts w:ascii="Arial" w:eastAsia="Times New Roman" w:hAnsi="Arial" w:cs="Arial"/>
                <w:sz w:val="20"/>
                <w:szCs w:val="20"/>
                <w:vertAlign w:val="superscript"/>
                <w:lang w:eastAsia="en-AU"/>
              </w:rPr>
              <w:t>(</w:t>
            </w:r>
            <w:hyperlink r:id="rId54" w:anchor="target-d60297e447244" w:tooltip="Caretaker’s accommodation - A dwelling provided for a caretaker of a non-residential use on the same premises." w:history="1">
              <w:r w:rsidRPr="00F215B6">
                <w:rPr>
                  <w:rFonts w:ascii="Arial" w:eastAsia="Times New Roman" w:hAnsi="Arial" w:cs="Arial"/>
                  <w:color w:val="0000FF"/>
                  <w:sz w:val="20"/>
                  <w:szCs w:val="20"/>
                  <w:vertAlign w:val="superscript"/>
                  <w:lang w:eastAsia="en-AU"/>
                </w:rPr>
                <w:t>10</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except where located in the Extractive industry zone;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Community residence</w:t>
            </w:r>
            <w:r w:rsidRPr="00F215B6">
              <w:rPr>
                <w:rFonts w:ascii="Arial" w:eastAsia="Times New Roman" w:hAnsi="Arial" w:cs="Arial"/>
                <w:sz w:val="20"/>
                <w:szCs w:val="20"/>
                <w:vertAlign w:val="superscript"/>
                <w:lang w:eastAsia="en-AU"/>
              </w:rPr>
              <w:t>(</w:t>
            </w:r>
            <w:hyperlink r:id="rId5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215B6">
                <w:rPr>
                  <w:rFonts w:ascii="Arial" w:eastAsia="Times New Roman" w:hAnsi="Arial" w:cs="Arial"/>
                  <w:color w:val="0000FF"/>
                  <w:sz w:val="20"/>
                  <w:szCs w:val="20"/>
                  <w:vertAlign w:val="superscript"/>
                  <w:lang w:eastAsia="en-AU"/>
                </w:rPr>
                <w:t>16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Dual occupancy</w:t>
            </w:r>
            <w:r w:rsidRPr="00F215B6">
              <w:rPr>
                <w:rFonts w:ascii="Arial" w:eastAsia="Times New Roman" w:hAnsi="Arial" w:cs="Arial"/>
                <w:sz w:val="20"/>
                <w:szCs w:val="20"/>
                <w:vertAlign w:val="superscript"/>
                <w:lang w:eastAsia="en-AU"/>
              </w:rPr>
              <w:t>(</w:t>
            </w:r>
            <w:hyperlink r:id="rId5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215B6">
                <w:rPr>
                  <w:rFonts w:ascii="Arial" w:eastAsia="Times New Roman" w:hAnsi="Arial" w:cs="Arial"/>
                  <w:color w:val="0000FF"/>
                  <w:sz w:val="20"/>
                  <w:szCs w:val="20"/>
                  <w:vertAlign w:val="superscript"/>
                  <w:lang w:eastAsia="en-AU"/>
                </w:rPr>
                <w:t>21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Dwelling house;</w:t>
            </w:r>
            <w:r w:rsidRPr="00F215B6">
              <w:rPr>
                <w:rFonts w:ascii="Arial" w:eastAsia="Times New Roman" w:hAnsi="Arial" w:cs="Arial"/>
                <w:sz w:val="20"/>
                <w:szCs w:val="20"/>
                <w:vertAlign w:val="superscript"/>
                <w:lang w:eastAsia="en-AU"/>
              </w:rPr>
              <w:t>(</w:t>
            </w:r>
            <w:hyperlink r:id="rId5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Dwelling unit</w:t>
            </w:r>
            <w:r w:rsidRPr="00F215B6">
              <w:rPr>
                <w:rFonts w:ascii="Arial" w:eastAsia="Times New Roman" w:hAnsi="Arial" w:cs="Arial"/>
                <w:sz w:val="20"/>
                <w:szCs w:val="20"/>
                <w:vertAlign w:val="superscript"/>
                <w:lang w:eastAsia="en-AU"/>
              </w:rPr>
              <w:t>(</w:t>
            </w:r>
            <w:hyperlink r:id="rId58" w:anchor="target-d60297e447532" w:tooltip="Dwelling unit - A single dwelling within a premises containing non residential use(s)." w:history="1">
              <w:r w:rsidRPr="00F215B6">
                <w:rPr>
                  <w:rFonts w:ascii="Arial" w:eastAsia="Times New Roman" w:hAnsi="Arial" w:cs="Arial"/>
                  <w:color w:val="0000FF"/>
                  <w:sz w:val="20"/>
                  <w:szCs w:val="20"/>
                  <w:vertAlign w:val="superscript"/>
                  <w:lang w:eastAsia="en-AU"/>
                </w:rPr>
                <w:t>23</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Hospital</w:t>
            </w:r>
            <w:r w:rsidRPr="00F215B6">
              <w:rPr>
                <w:rFonts w:ascii="Arial" w:eastAsia="Times New Roman" w:hAnsi="Arial" w:cs="Arial"/>
                <w:sz w:val="20"/>
                <w:szCs w:val="20"/>
                <w:vertAlign w:val="superscript"/>
                <w:lang w:eastAsia="en-AU"/>
              </w:rPr>
              <w:t>(</w:t>
            </w:r>
            <w:hyperlink r:id="rId5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215B6">
                <w:rPr>
                  <w:rFonts w:ascii="Arial" w:eastAsia="Times New Roman" w:hAnsi="Arial" w:cs="Arial"/>
                  <w:color w:val="0000FF"/>
                  <w:sz w:val="20"/>
                  <w:szCs w:val="20"/>
                  <w:vertAlign w:val="superscript"/>
                  <w:lang w:eastAsia="en-AU"/>
                </w:rPr>
                <w:t>36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Rooming accommodation</w:t>
            </w:r>
            <w:r w:rsidRPr="00F215B6">
              <w:rPr>
                <w:rFonts w:ascii="Arial" w:eastAsia="Times New Roman" w:hAnsi="Arial" w:cs="Arial"/>
                <w:sz w:val="20"/>
                <w:szCs w:val="20"/>
                <w:vertAlign w:val="superscript"/>
                <w:lang w:eastAsia="en-AU"/>
              </w:rPr>
              <w:t>(</w:t>
            </w:r>
            <w:hyperlink r:id="rId6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15B6">
                <w:rPr>
                  <w:rFonts w:ascii="Arial" w:eastAsia="Times New Roman" w:hAnsi="Arial" w:cs="Arial"/>
                  <w:color w:val="0000FF"/>
                  <w:sz w:val="20"/>
                  <w:szCs w:val="20"/>
                  <w:vertAlign w:val="superscript"/>
                  <w:lang w:eastAsia="en-AU"/>
                </w:rPr>
                <w:t>69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Multiple dwelling</w:t>
            </w:r>
            <w:r w:rsidRPr="00F215B6">
              <w:rPr>
                <w:rFonts w:ascii="Arial" w:eastAsia="Times New Roman" w:hAnsi="Arial" w:cs="Arial"/>
                <w:sz w:val="20"/>
                <w:szCs w:val="20"/>
                <w:vertAlign w:val="superscript"/>
                <w:lang w:eastAsia="en-AU"/>
              </w:rPr>
              <w:t>(</w:t>
            </w:r>
            <w:hyperlink r:id="rId61" w:anchor="target-d60297e448163" w:tooltip="Multiple dwelling - Premises containing three or more dwellings for separate households." w:history="1">
              <w:r w:rsidRPr="00F215B6">
                <w:rPr>
                  <w:rFonts w:ascii="Arial" w:eastAsia="Times New Roman" w:hAnsi="Arial" w:cs="Arial"/>
                  <w:color w:val="0000FF"/>
                  <w:sz w:val="20"/>
                  <w:szCs w:val="20"/>
                  <w:vertAlign w:val="superscript"/>
                  <w:lang w:eastAsia="en-AU"/>
                </w:rPr>
                <w:t>49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Non-resident workforce accommodation</w:t>
            </w:r>
            <w:r w:rsidRPr="00F215B6">
              <w:rPr>
                <w:rFonts w:ascii="Arial" w:eastAsia="Times New Roman" w:hAnsi="Arial" w:cs="Arial"/>
                <w:sz w:val="20"/>
                <w:szCs w:val="20"/>
                <w:vertAlign w:val="superscript"/>
                <w:lang w:eastAsia="en-AU"/>
              </w:rPr>
              <w:t>(</w:t>
            </w:r>
            <w:hyperlink r:id="rId6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215B6">
                <w:rPr>
                  <w:rFonts w:ascii="Arial" w:eastAsia="Times New Roman" w:hAnsi="Arial" w:cs="Arial"/>
                  <w:color w:val="0000FF"/>
                  <w:sz w:val="20"/>
                  <w:szCs w:val="20"/>
                  <w:vertAlign w:val="superscript"/>
                  <w:lang w:eastAsia="en-AU"/>
                </w:rPr>
                <w:t>52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Relocatable home park</w:t>
            </w:r>
            <w:r w:rsidRPr="00F215B6">
              <w:rPr>
                <w:rFonts w:ascii="Arial" w:eastAsia="Times New Roman" w:hAnsi="Arial" w:cs="Arial"/>
                <w:sz w:val="20"/>
                <w:szCs w:val="20"/>
                <w:vertAlign w:val="superscript"/>
                <w:lang w:eastAsia="en-AU"/>
              </w:rPr>
              <w:t>(</w:t>
            </w:r>
            <w:hyperlink r:id="rId6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15B6">
                <w:rPr>
                  <w:rFonts w:ascii="Arial" w:eastAsia="Times New Roman" w:hAnsi="Arial" w:cs="Arial"/>
                  <w:color w:val="0000FF"/>
                  <w:sz w:val="20"/>
                  <w:szCs w:val="20"/>
                  <w:vertAlign w:val="superscript"/>
                  <w:lang w:eastAsia="en-AU"/>
                </w:rPr>
                <w:t>62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Residential care facility</w:t>
            </w:r>
            <w:r w:rsidRPr="00F215B6">
              <w:rPr>
                <w:rFonts w:ascii="Arial" w:eastAsia="Times New Roman" w:hAnsi="Arial" w:cs="Arial"/>
                <w:sz w:val="20"/>
                <w:szCs w:val="20"/>
                <w:vertAlign w:val="superscript"/>
                <w:lang w:eastAsia="en-AU"/>
              </w:rPr>
              <w:t>(</w:t>
            </w:r>
            <w:hyperlink r:id="rId6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15B6">
                <w:rPr>
                  <w:rFonts w:ascii="Arial" w:eastAsia="Times New Roman" w:hAnsi="Arial" w:cs="Arial"/>
                  <w:color w:val="0000FF"/>
                  <w:sz w:val="20"/>
                  <w:szCs w:val="20"/>
                  <w:vertAlign w:val="superscript"/>
                  <w:lang w:eastAsia="en-AU"/>
                </w:rPr>
                <w:t>65</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Resort complex</w:t>
            </w:r>
            <w:r w:rsidRPr="00F215B6">
              <w:rPr>
                <w:rFonts w:ascii="Arial" w:eastAsia="Times New Roman" w:hAnsi="Arial" w:cs="Arial"/>
                <w:sz w:val="20"/>
                <w:szCs w:val="20"/>
                <w:vertAlign w:val="superscript"/>
                <w:lang w:eastAsia="en-AU"/>
              </w:rPr>
              <w:t>(</w:t>
            </w:r>
            <w:hyperlink r:id="rId6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215B6">
                <w:rPr>
                  <w:rFonts w:ascii="Arial" w:eastAsia="Times New Roman" w:hAnsi="Arial" w:cs="Arial"/>
                  <w:color w:val="0000FF"/>
                  <w:sz w:val="20"/>
                  <w:szCs w:val="20"/>
                  <w:vertAlign w:val="superscript"/>
                  <w:lang w:eastAsia="en-AU"/>
                </w:rPr>
                <w:t>66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Retirement facility</w:t>
            </w:r>
            <w:r w:rsidRPr="00F215B6">
              <w:rPr>
                <w:rFonts w:ascii="Arial" w:eastAsia="Times New Roman" w:hAnsi="Arial" w:cs="Arial"/>
                <w:sz w:val="20"/>
                <w:szCs w:val="20"/>
                <w:vertAlign w:val="superscript"/>
                <w:lang w:eastAsia="en-AU"/>
              </w:rPr>
              <w:t>(</w:t>
            </w:r>
            <w:hyperlink r:id="rId6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15B6">
                <w:rPr>
                  <w:rFonts w:ascii="Arial" w:eastAsia="Times New Roman" w:hAnsi="Arial" w:cs="Arial"/>
                  <w:color w:val="0000FF"/>
                  <w:sz w:val="20"/>
                  <w:szCs w:val="20"/>
                  <w:vertAlign w:val="superscript"/>
                  <w:lang w:eastAsia="en-AU"/>
                </w:rPr>
                <w:t>67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Rural workers’ accommodation</w:t>
            </w:r>
            <w:r w:rsidRPr="00F215B6">
              <w:rPr>
                <w:rFonts w:ascii="Arial" w:eastAsia="Times New Roman" w:hAnsi="Arial" w:cs="Arial"/>
                <w:sz w:val="20"/>
                <w:szCs w:val="20"/>
                <w:vertAlign w:val="superscript"/>
                <w:lang w:eastAsia="en-AU"/>
              </w:rPr>
              <w:t>(</w:t>
            </w:r>
            <w:hyperlink r:id="rId6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215B6">
                <w:rPr>
                  <w:rFonts w:ascii="Arial" w:eastAsia="Times New Roman" w:hAnsi="Arial" w:cs="Arial"/>
                  <w:color w:val="0000FF"/>
                  <w:sz w:val="20"/>
                  <w:szCs w:val="20"/>
                  <w:vertAlign w:val="superscript"/>
                  <w:lang w:eastAsia="en-AU"/>
                </w:rPr>
                <w:t>71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Short-term accommodation</w:t>
            </w:r>
            <w:r w:rsidRPr="00F215B6">
              <w:rPr>
                <w:rFonts w:ascii="Arial" w:eastAsia="Times New Roman" w:hAnsi="Arial" w:cs="Arial"/>
                <w:sz w:val="20"/>
                <w:szCs w:val="20"/>
                <w:vertAlign w:val="superscript"/>
                <w:lang w:eastAsia="en-AU"/>
              </w:rPr>
              <w:t>(</w:t>
            </w:r>
            <w:hyperlink r:id="rId6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15B6">
                <w:rPr>
                  <w:rFonts w:ascii="Arial" w:eastAsia="Times New Roman" w:hAnsi="Arial" w:cs="Arial"/>
                  <w:color w:val="0000FF"/>
                  <w:sz w:val="20"/>
                  <w:szCs w:val="20"/>
                  <w:vertAlign w:val="superscript"/>
                  <w:lang w:eastAsia="en-AU"/>
                </w:rPr>
                <w:t>77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Tourist park</w:t>
            </w:r>
            <w:r w:rsidRPr="00F215B6">
              <w:rPr>
                <w:rFonts w:ascii="Arial" w:eastAsia="Times New Roman" w:hAnsi="Arial" w:cs="Arial"/>
                <w:sz w:val="20"/>
                <w:szCs w:val="20"/>
                <w:vertAlign w:val="superscript"/>
                <w:lang w:eastAsia="en-AU"/>
              </w:rPr>
              <w:t>(</w:t>
            </w:r>
            <w:hyperlink r:id="rId6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215B6">
                <w:rPr>
                  <w:rFonts w:ascii="Arial" w:eastAsia="Times New Roman" w:hAnsi="Arial" w:cs="Arial"/>
                  <w:color w:val="0000FF"/>
                  <w:sz w:val="20"/>
                  <w:szCs w:val="20"/>
                  <w:vertAlign w:val="superscript"/>
                  <w:lang w:eastAsia="en-AU"/>
                </w:rPr>
                <w:t>84</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RAD33</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RAD34</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 vehicle access point is located, designed and constructed in accordance with Planning scheme policy - Integrated design.</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C904A8"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Overland flow path (refer Overlay map - Overland flow path to determine if the following requirements apply)</w:t>
            </w: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RAD35</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RAD36</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Note - Reporting to be prepared in accordance with Planning scheme policy – Flood hazard, Coastal hazard and Overland flow</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RAD37</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RAD38</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RAD39</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for a material change of use or building work for a Park</w:t>
            </w:r>
            <w:r w:rsidRPr="00F215B6">
              <w:rPr>
                <w:rFonts w:ascii="Arial" w:eastAsia="Times New Roman" w:hAnsi="Arial" w:cs="Arial"/>
                <w:sz w:val="20"/>
                <w:szCs w:val="20"/>
                <w:vertAlign w:val="superscript"/>
                <w:lang w:eastAsia="en-AU"/>
              </w:rPr>
              <w:t>(</w:t>
            </w:r>
            <w:hyperlink r:id="rId7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215B6">
                <w:rPr>
                  <w:rFonts w:ascii="Arial" w:eastAsia="Times New Roman" w:hAnsi="Arial" w:cs="Arial"/>
                  <w:color w:val="0000FF"/>
                  <w:sz w:val="20"/>
                  <w:szCs w:val="20"/>
                  <w:vertAlign w:val="superscript"/>
                  <w:lang w:eastAsia="en-AU"/>
                </w:rPr>
                <w:t>57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ensures that work is provided in accordance with the requirements set out in Appendix B of </w:t>
            </w:r>
            <w:r w:rsidRPr="00F215B6">
              <w:rPr>
                <w:rFonts w:ascii="Arial" w:eastAsia="Times New Roman" w:hAnsi="Arial" w:cs="Arial"/>
                <w:sz w:val="20"/>
                <w:szCs w:val="20"/>
                <w:lang w:eastAsia="en-AU"/>
              </w:rPr>
              <w:lastRenderedPageBreak/>
              <w:t xml:space="preserve">the Planning scheme policy - Integrated design.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78"/>
            </w:tblGrid>
            <w:tr w:rsidR="007849E7" w:rsidRPr="00F215B6" w:rsidTr="00A31CFF">
              <w:trPr>
                <w:tblCellSpacing w:w="15" w:type="dxa"/>
              </w:trPr>
              <w:tc>
                <w:tcPr>
                  <w:tcW w:w="15383" w:type="dxa"/>
                  <w:vAlign w:val="center"/>
                  <w:hideMark/>
                </w:tcPr>
                <w:p w:rsidR="007849E7" w:rsidRPr="00F215B6" w:rsidRDefault="007849E7"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7849E7" w:rsidRPr="00F215B6" w:rsidRDefault="007849E7"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RAD40</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is for the preservation, maintenance, repair and restoration of the site, object or building.</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Preservation, maintenance, repair and restoration are defined in Schedule 1 - Definitions</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RAD41</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RAD42</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RAD43</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A31CFF" w:rsidRPr="00F215B6" w:rsidRDefault="00A31CFF" w:rsidP="00C90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construction of any building;</w:t>
            </w:r>
          </w:p>
          <w:p w:rsidR="00A31CFF" w:rsidRPr="00F215B6" w:rsidRDefault="00A31CFF" w:rsidP="00C90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laying of overhead or underground services;</w:t>
            </w:r>
          </w:p>
          <w:p w:rsidR="00A31CFF" w:rsidRPr="00F215B6" w:rsidRDefault="00A31CFF" w:rsidP="00C90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any sealing, paving, soil compaction;</w:t>
            </w:r>
          </w:p>
          <w:p w:rsidR="00A31CFF" w:rsidRPr="00F215B6" w:rsidRDefault="00A31CFF" w:rsidP="00C904A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any alteration of more than 75mm to the ground level prior to work commencing.</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RAD44</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Pruning of a significant tree occurs in accordance with Australian Standard AS 4373-2007 - Pruning of Amenity Trees.</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Infrastructure buffers (refer Overlay map - Infrastructure buffers to determine if the following requirements apply)</w:t>
            </w:r>
          </w:p>
          <w:p w:rsidR="007849E7" w:rsidRPr="00F215B6" w:rsidRDefault="007849E7"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RAD45</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does not include the following uses within a Wastewater treatment site buffer:</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Caretaker’s accommodation</w:t>
            </w:r>
            <w:r w:rsidRPr="00F215B6">
              <w:rPr>
                <w:rFonts w:ascii="Arial" w:eastAsia="Times New Roman" w:hAnsi="Arial" w:cs="Arial"/>
                <w:sz w:val="20"/>
                <w:szCs w:val="20"/>
                <w:vertAlign w:val="superscript"/>
                <w:lang w:eastAsia="en-AU"/>
              </w:rPr>
              <w:t>(</w:t>
            </w:r>
            <w:hyperlink r:id="rId71" w:anchor="target-d60297e447244" w:tooltip="Caretaker’s accommodation - A dwelling provided for a caretaker of a non-residential use on the same premises." w:history="1">
              <w:r w:rsidRPr="00F215B6">
                <w:rPr>
                  <w:rFonts w:ascii="Arial" w:eastAsia="Times New Roman" w:hAnsi="Arial" w:cs="Arial"/>
                  <w:color w:val="0000FF"/>
                  <w:sz w:val="20"/>
                  <w:szCs w:val="20"/>
                  <w:vertAlign w:val="superscript"/>
                  <w:lang w:eastAsia="en-AU"/>
                </w:rPr>
                <w:t>10</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Community residence</w:t>
            </w:r>
            <w:r w:rsidRPr="00F215B6">
              <w:rPr>
                <w:rFonts w:ascii="Arial" w:eastAsia="Times New Roman" w:hAnsi="Arial" w:cs="Arial"/>
                <w:sz w:val="20"/>
                <w:szCs w:val="20"/>
                <w:vertAlign w:val="superscript"/>
                <w:lang w:eastAsia="en-AU"/>
              </w:rPr>
              <w:t>(</w:t>
            </w:r>
            <w:hyperlink r:id="rId7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215B6">
                <w:rPr>
                  <w:rFonts w:ascii="Arial" w:eastAsia="Times New Roman" w:hAnsi="Arial" w:cs="Arial"/>
                  <w:color w:val="0000FF"/>
                  <w:sz w:val="20"/>
                  <w:szCs w:val="20"/>
                  <w:vertAlign w:val="superscript"/>
                  <w:lang w:eastAsia="en-AU"/>
                </w:rPr>
                <w:t>16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Dual occupancy</w:t>
            </w:r>
            <w:r w:rsidRPr="00F215B6">
              <w:rPr>
                <w:rFonts w:ascii="Arial" w:eastAsia="Times New Roman" w:hAnsi="Arial" w:cs="Arial"/>
                <w:sz w:val="20"/>
                <w:szCs w:val="20"/>
                <w:vertAlign w:val="superscript"/>
                <w:lang w:eastAsia="en-AU"/>
              </w:rPr>
              <w:t>(</w:t>
            </w:r>
            <w:hyperlink r:id="rId7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215B6">
                <w:rPr>
                  <w:rFonts w:ascii="Arial" w:eastAsia="Times New Roman" w:hAnsi="Arial" w:cs="Arial"/>
                  <w:color w:val="0000FF"/>
                  <w:sz w:val="20"/>
                  <w:szCs w:val="20"/>
                  <w:vertAlign w:val="superscript"/>
                  <w:lang w:eastAsia="en-AU"/>
                </w:rPr>
                <w:t>21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Dwelling house;</w:t>
            </w:r>
            <w:r w:rsidRPr="00F215B6">
              <w:rPr>
                <w:rFonts w:ascii="Arial" w:eastAsia="Times New Roman" w:hAnsi="Arial" w:cs="Arial"/>
                <w:sz w:val="20"/>
                <w:szCs w:val="20"/>
                <w:vertAlign w:val="superscript"/>
                <w:lang w:eastAsia="en-AU"/>
              </w:rPr>
              <w:t>(</w:t>
            </w:r>
            <w:hyperlink r:id="rId7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Dwelling unit</w:t>
            </w:r>
            <w:r w:rsidRPr="00F215B6">
              <w:rPr>
                <w:rFonts w:ascii="Arial" w:eastAsia="Times New Roman" w:hAnsi="Arial" w:cs="Arial"/>
                <w:sz w:val="20"/>
                <w:szCs w:val="20"/>
                <w:vertAlign w:val="superscript"/>
                <w:lang w:eastAsia="en-AU"/>
              </w:rPr>
              <w:t>(</w:t>
            </w:r>
            <w:hyperlink r:id="rId75" w:anchor="target-d60297e447532" w:tooltip="Dwelling unit - A single dwelling within a premises containing non residential use(s)." w:history="1">
              <w:r w:rsidRPr="00F215B6">
                <w:rPr>
                  <w:rFonts w:ascii="Arial" w:eastAsia="Times New Roman" w:hAnsi="Arial" w:cs="Arial"/>
                  <w:color w:val="0000FF"/>
                  <w:sz w:val="20"/>
                  <w:szCs w:val="20"/>
                  <w:vertAlign w:val="superscript"/>
                  <w:lang w:eastAsia="en-AU"/>
                </w:rPr>
                <w:t>23</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Hospital</w:t>
            </w:r>
            <w:r w:rsidRPr="00F215B6">
              <w:rPr>
                <w:rFonts w:ascii="Arial" w:eastAsia="Times New Roman" w:hAnsi="Arial" w:cs="Arial"/>
                <w:sz w:val="20"/>
                <w:szCs w:val="20"/>
                <w:vertAlign w:val="superscript"/>
                <w:lang w:eastAsia="en-AU"/>
              </w:rPr>
              <w:t>(</w:t>
            </w:r>
            <w:hyperlink r:id="rId7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215B6">
                <w:rPr>
                  <w:rFonts w:ascii="Arial" w:eastAsia="Times New Roman" w:hAnsi="Arial" w:cs="Arial"/>
                  <w:color w:val="0000FF"/>
                  <w:sz w:val="20"/>
                  <w:szCs w:val="20"/>
                  <w:vertAlign w:val="superscript"/>
                  <w:lang w:eastAsia="en-AU"/>
                </w:rPr>
                <w:t>36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Rooming accommodation</w:t>
            </w:r>
            <w:r w:rsidRPr="00F215B6">
              <w:rPr>
                <w:rFonts w:ascii="Arial" w:eastAsia="Times New Roman" w:hAnsi="Arial" w:cs="Arial"/>
                <w:sz w:val="20"/>
                <w:szCs w:val="20"/>
                <w:vertAlign w:val="superscript"/>
                <w:lang w:eastAsia="en-AU"/>
              </w:rPr>
              <w:t>(</w:t>
            </w:r>
            <w:hyperlink r:id="rId7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15B6">
                <w:rPr>
                  <w:rFonts w:ascii="Arial" w:eastAsia="Times New Roman" w:hAnsi="Arial" w:cs="Arial"/>
                  <w:color w:val="0000FF"/>
                  <w:sz w:val="20"/>
                  <w:szCs w:val="20"/>
                  <w:vertAlign w:val="superscript"/>
                  <w:lang w:eastAsia="en-AU"/>
                </w:rPr>
                <w:t>69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Multiple dwelling</w:t>
            </w:r>
            <w:r w:rsidRPr="00F215B6">
              <w:rPr>
                <w:rFonts w:ascii="Arial" w:eastAsia="Times New Roman" w:hAnsi="Arial" w:cs="Arial"/>
                <w:sz w:val="20"/>
                <w:szCs w:val="20"/>
                <w:vertAlign w:val="superscript"/>
                <w:lang w:eastAsia="en-AU"/>
              </w:rPr>
              <w:t>(</w:t>
            </w:r>
            <w:hyperlink r:id="rId78" w:anchor="target-d60297e448163" w:tooltip="Multiple dwelling - Premises containing three or more dwellings for separate households." w:history="1">
              <w:r w:rsidRPr="00F215B6">
                <w:rPr>
                  <w:rFonts w:ascii="Arial" w:eastAsia="Times New Roman" w:hAnsi="Arial" w:cs="Arial"/>
                  <w:color w:val="0000FF"/>
                  <w:sz w:val="20"/>
                  <w:szCs w:val="20"/>
                  <w:vertAlign w:val="superscript"/>
                  <w:lang w:eastAsia="en-AU"/>
                </w:rPr>
                <w:t>49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Non-resident workforce accommodation</w:t>
            </w:r>
            <w:r w:rsidRPr="00F215B6">
              <w:rPr>
                <w:rFonts w:ascii="Arial" w:eastAsia="Times New Roman" w:hAnsi="Arial" w:cs="Arial"/>
                <w:sz w:val="20"/>
                <w:szCs w:val="20"/>
                <w:vertAlign w:val="superscript"/>
                <w:lang w:eastAsia="en-AU"/>
              </w:rPr>
              <w:t>(</w:t>
            </w:r>
            <w:hyperlink r:id="rId7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215B6">
                <w:rPr>
                  <w:rFonts w:ascii="Arial" w:eastAsia="Times New Roman" w:hAnsi="Arial" w:cs="Arial"/>
                  <w:color w:val="0000FF"/>
                  <w:sz w:val="20"/>
                  <w:szCs w:val="20"/>
                  <w:vertAlign w:val="superscript"/>
                  <w:lang w:eastAsia="en-AU"/>
                </w:rPr>
                <w:t>52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Relocatable home park</w:t>
            </w:r>
            <w:r w:rsidRPr="00F215B6">
              <w:rPr>
                <w:rFonts w:ascii="Arial" w:eastAsia="Times New Roman" w:hAnsi="Arial" w:cs="Arial"/>
                <w:sz w:val="20"/>
                <w:szCs w:val="20"/>
                <w:vertAlign w:val="superscript"/>
                <w:lang w:eastAsia="en-AU"/>
              </w:rPr>
              <w:t>(</w:t>
            </w:r>
            <w:hyperlink r:id="rId8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15B6">
                <w:rPr>
                  <w:rFonts w:ascii="Arial" w:eastAsia="Times New Roman" w:hAnsi="Arial" w:cs="Arial"/>
                  <w:color w:val="0000FF"/>
                  <w:sz w:val="20"/>
                  <w:szCs w:val="20"/>
                  <w:vertAlign w:val="superscript"/>
                  <w:lang w:eastAsia="en-AU"/>
                </w:rPr>
                <w:t>62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Residential care facility</w:t>
            </w:r>
            <w:r w:rsidRPr="00F215B6">
              <w:rPr>
                <w:rFonts w:ascii="Arial" w:eastAsia="Times New Roman" w:hAnsi="Arial" w:cs="Arial"/>
                <w:sz w:val="20"/>
                <w:szCs w:val="20"/>
                <w:vertAlign w:val="superscript"/>
                <w:lang w:eastAsia="en-AU"/>
              </w:rPr>
              <w:t>(</w:t>
            </w:r>
            <w:hyperlink r:id="rId8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15B6">
                <w:rPr>
                  <w:rFonts w:ascii="Arial" w:eastAsia="Times New Roman" w:hAnsi="Arial" w:cs="Arial"/>
                  <w:color w:val="0000FF"/>
                  <w:sz w:val="20"/>
                  <w:szCs w:val="20"/>
                  <w:vertAlign w:val="superscript"/>
                  <w:lang w:eastAsia="en-AU"/>
                </w:rPr>
                <w:t>65</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Resort complex</w:t>
            </w:r>
            <w:r w:rsidRPr="00F215B6">
              <w:rPr>
                <w:rFonts w:ascii="Arial" w:eastAsia="Times New Roman" w:hAnsi="Arial" w:cs="Arial"/>
                <w:sz w:val="20"/>
                <w:szCs w:val="20"/>
                <w:vertAlign w:val="superscript"/>
                <w:lang w:eastAsia="en-AU"/>
              </w:rPr>
              <w:t>(</w:t>
            </w:r>
            <w:hyperlink r:id="rId8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215B6">
                <w:rPr>
                  <w:rFonts w:ascii="Arial" w:eastAsia="Times New Roman" w:hAnsi="Arial" w:cs="Arial"/>
                  <w:color w:val="0000FF"/>
                  <w:sz w:val="20"/>
                  <w:szCs w:val="20"/>
                  <w:vertAlign w:val="superscript"/>
                  <w:lang w:eastAsia="en-AU"/>
                </w:rPr>
                <w:t>66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Retirement facility</w:t>
            </w:r>
            <w:r w:rsidRPr="00F215B6">
              <w:rPr>
                <w:rFonts w:ascii="Arial" w:eastAsia="Times New Roman" w:hAnsi="Arial" w:cs="Arial"/>
                <w:sz w:val="20"/>
                <w:szCs w:val="20"/>
                <w:vertAlign w:val="superscript"/>
                <w:lang w:eastAsia="en-AU"/>
              </w:rPr>
              <w:t>(</w:t>
            </w:r>
            <w:hyperlink r:id="rId8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15B6">
                <w:rPr>
                  <w:rFonts w:ascii="Arial" w:eastAsia="Times New Roman" w:hAnsi="Arial" w:cs="Arial"/>
                  <w:color w:val="0000FF"/>
                  <w:sz w:val="20"/>
                  <w:szCs w:val="20"/>
                  <w:vertAlign w:val="superscript"/>
                  <w:lang w:eastAsia="en-AU"/>
                </w:rPr>
                <w:t>67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Rural workers’ accommodation</w:t>
            </w:r>
            <w:r w:rsidRPr="00F215B6">
              <w:rPr>
                <w:rFonts w:ascii="Arial" w:eastAsia="Times New Roman" w:hAnsi="Arial" w:cs="Arial"/>
                <w:sz w:val="20"/>
                <w:szCs w:val="20"/>
                <w:vertAlign w:val="superscript"/>
                <w:lang w:eastAsia="en-AU"/>
              </w:rPr>
              <w:t>(</w:t>
            </w:r>
            <w:hyperlink r:id="rId8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215B6">
                <w:rPr>
                  <w:rFonts w:ascii="Arial" w:eastAsia="Times New Roman" w:hAnsi="Arial" w:cs="Arial"/>
                  <w:color w:val="0000FF"/>
                  <w:sz w:val="20"/>
                  <w:szCs w:val="20"/>
                  <w:vertAlign w:val="superscript"/>
                  <w:lang w:eastAsia="en-AU"/>
                </w:rPr>
                <w:t>71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Short-term accommodation</w:t>
            </w:r>
            <w:r w:rsidRPr="00F215B6">
              <w:rPr>
                <w:rFonts w:ascii="Arial" w:eastAsia="Times New Roman" w:hAnsi="Arial" w:cs="Arial"/>
                <w:sz w:val="20"/>
                <w:szCs w:val="20"/>
                <w:vertAlign w:val="superscript"/>
                <w:lang w:eastAsia="en-AU"/>
              </w:rPr>
              <w:t>(</w:t>
            </w:r>
            <w:hyperlink r:id="rId8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15B6">
                <w:rPr>
                  <w:rFonts w:ascii="Arial" w:eastAsia="Times New Roman" w:hAnsi="Arial" w:cs="Arial"/>
                  <w:color w:val="0000FF"/>
                  <w:sz w:val="20"/>
                  <w:szCs w:val="20"/>
                  <w:vertAlign w:val="superscript"/>
                  <w:lang w:eastAsia="en-AU"/>
                </w:rPr>
                <w:t>77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C904A8" w:rsidRDefault="00A31CFF" w:rsidP="00C904A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Tourist park</w:t>
            </w:r>
            <w:r w:rsidRPr="00F215B6">
              <w:rPr>
                <w:rFonts w:ascii="Arial" w:eastAsia="Times New Roman" w:hAnsi="Arial" w:cs="Arial"/>
                <w:sz w:val="20"/>
                <w:szCs w:val="20"/>
                <w:vertAlign w:val="superscript"/>
                <w:lang w:eastAsia="en-AU"/>
              </w:rPr>
              <w:t>(</w:t>
            </w:r>
            <w:hyperlink r:id="rId8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215B6">
                <w:rPr>
                  <w:rFonts w:ascii="Arial" w:eastAsia="Times New Roman" w:hAnsi="Arial" w:cs="Arial"/>
                  <w:color w:val="0000FF"/>
                  <w:sz w:val="20"/>
                  <w:szCs w:val="20"/>
                  <w:vertAlign w:val="superscript"/>
                  <w:lang w:eastAsia="en-AU"/>
                </w:rPr>
                <w:t>84</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RAD46</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does not involve the construction of any buildings or structures within a Bulk water supply infrastructure buffer.</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RAD47</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RAD48</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does not involve the construction of any buildings or structures within the Gas pipeline buffer.</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RAD49</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Development does not include the following uses located within a landfill site buffer:</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caretaker’s accommodation</w:t>
            </w:r>
            <w:r w:rsidRPr="00F215B6">
              <w:rPr>
                <w:rFonts w:ascii="Arial" w:eastAsia="Times New Roman" w:hAnsi="Arial" w:cs="Arial"/>
                <w:sz w:val="20"/>
                <w:szCs w:val="20"/>
                <w:vertAlign w:val="superscript"/>
                <w:lang w:eastAsia="en-AU"/>
              </w:rPr>
              <w:t>(</w:t>
            </w:r>
            <w:hyperlink r:id="rId87" w:anchor="target-d60297e447244" w:tooltip="Caretaker’s accommodation - A dwelling provided for a caretaker of a non-residential use on the same premises." w:history="1">
              <w:r w:rsidRPr="00F215B6">
                <w:rPr>
                  <w:rFonts w:ascii="Arial" w:eastAsia="Times New Roman" w:hAnsi="Arial" w:cs="Arial"/>
                  <w:color w:val="0000FF"/>
                  <w:sz w:val="20"/>
                  <w:szCs w:val="20"/>
                  <w:vertAlign w:val="superscript"/>
                  <w:lang w:eastAsia="en-AU"/>
                </w:rPr>
                <w:t>10</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community residence</w:t>
            </w:r>
            <w:r w:rsidRPr="00F215B6">
              <w:rPr>
                <w:rFonts w:ascii="Arial" w:eastAsia="Times New Roman" w:hAnsi="Arial" w:cs="Arial"/>
                <w:sz w:val="20"/>
                <w:szCs w:val="20"/>
                <w:vertAlign w:val="superscript"/>
                <w:lang w:eastAsia="en-AU"/>
              </w:rPr>
              <w:t>(</w:t>
            </w:r>
            <w:hyperlink r:id="rId8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215B6">
                <w:rPr>
                  <w:rFonts w:ascii="Arial" w:eastAsia="Times New Roman" w:hAnsi="Arial" w:cs="Arial"/>
                  <w:color w:val="0000FF"/>
                  <w:sz w:val="20"/>
                  <w:szCs w:val="20"/>
                  <w:vertAlign w:val="superscript"/>
                  <w:lang w:eastAsia="en-AU"/>
                </w:rPr>
                <w:t>16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dual occupancy</w:t>
            </w:r>
            <w:r w:rsidRPr="00F215B6">
              <w:rPr>
                <w:rFonts w:ascii="Arial" w:eastAsia="Times New Roman" w:hAnsi="Arial" w:cs="Arial"/>
                <w:sz w:val="20"/>
                <w:szCs w:val="20"/>
                <w:vertAlign w:val="superscript"/>
                <w:lang w:eastAsia="en-AU"/>
              </w:rPr>
              <w:t>(</w:t>
            </w:r>
            <w:hyperlink r:id="rId8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215B6">
                <w:rPr>
                  <w:rFonts w:ascii="Arial" w:eastAsia="Times New Roman" w:hAnsi="Arial" w:cs="Arial"/>
                  <w:color w:val="0000FF"/>
                  <w:sz w:val="20"/>
                  <w:szCs w:val="20"/>
                  <w:vertAlign w:val="superscript"/>
                  <w:lang w:eastAsia="en-AU"/>
                </w:rPr>
                <w:t>21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dwelling house;</w:t>
            </w:r>
            <w:r w:rsidRPr="00F215B6">
              <w:rPr>
                <w:rFonts w:ascii="Arial" w:eastAsia="Times New Roman" w:hAnsi="Arial" w:cs="Arial"/>
                <w:sz w:val="20"/>
                <w:szCs w:val="20"/>
                <w:vertAlign w:val="superscript"/>
                <w:lang w:eastAsia="en-AU"/>
              </w:rPr>
              <w:t>(</w:t>
            </w:r>
            <w:hyperlink r:id="rId9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215B6">
                <w:rPr>
                  <w:rFonts w:ascii="Arial" w:eastAsia="Times New Roman" w:hAnsi="Arial" w:cs="Arial"/>
                  <w:color w:val="0000FF"/>
                  <w:sz w:val="20"/>
                  <w:szCs w:val="20"/>
                  <w:vertAlign w:val="superscript"/>
                  <w:lang w:eastAsia="en-AU"/>
                </w:rPr>
                <w:t>22</w:t>
              </w:r>
            </w:hyperlink>
            <w:r w:rsidRPr="00F215B6">
              <w:rPr>
                <w:rFonts w:ascii="Arial" w:eastAsia="Times New Roman" w:hAnsi="Arial" w:cs="Arial"/>
                <w:sz w:val="20"/>
                <w:szCs w:val="20"/>
                <w:vertAlign w:val="superscript"/>
                <w:lang w:eastAsia="en-AU"/>
              </w:rPr>
              <w:t>)</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dwelling unit</w:t>
            </w:r>
            <w:r w:rsidRPr="00F215B6">
              <w:rPr>
                <w:rFonts w:ascii="Arial" w:eastAsia="Times New Roman" w:hAnsi="Arial" w:cs="Arial"/>
                <w:sz w:val="20"/>
                <w:szCs w:val="20"/>
                <w:vertAlign w:val="superscript"/>
                <w:lang w:eastAsia="en-AU"/>
              </w:rPr>
              <w:t>(</w:t>
            </w:r>
            <w:hyperlink r:id="rId91" w:anchor="target-d60297e447532" w:tooltip="Dwelling unit - A single dwelling within a premises containing non residential use(s)." w:history="1">
              <w:r w:rsidRPr="00F215B6">
                <w:rPr>
                  <w:rFonts w:ascii="Arial" w:eastAsia="Times New Roman" w:hAnsi="Arial" w:cs="Arial"/>
                  <w:color w:val="0000FF"/>
                  <w:sz w:val="20"/>
                  <w:szCs w:val="20"/>
                  <w:vertAlign w:val="superscript"/>
                  <w:lang w:eastAsia="en-AU"/>
                </w:rPr>
                <w:t>23</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hospital</w:t>
            </w:r>
            <w:r w:rsidRPr="00F215B6">
              <w:rPr>
                <w:rFonts w:ascii="Arial" w:eastAsia="Times New Roman" w:hAnsi="Arial" w:cs="Arial"/>
                <w:sz w:val="20"/>
                <w:szCs w:val="20"/>
                <w:vertAlign w:val="superscript"/>
                <w:lang w:eastAsia="en-AU"/>
              </w:rPr>
              <w:t>(</w:t>
            </w:r>
            <w:hyperlink r:id="rId9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215B6">
                <w:rPr>
                  <w:rFonts w:ascii="Arial" w:eastAsia="Times New Roman" w:hAnsi="Arial" w:cs="Arial"/>
                  <w:color w:val="0000FF"/>
                  <w:sz w:val="20"/>
                  <w:szCs w:val="20"/>
                  <w:vertAlign w:val="superscript"/>
                  <w:lang w:eastAsia="en-AU"/>
                </w:rPr>
                <w:t>36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rooming accommodation</w:t>
            </w:r>
            <w:r w:rsidRPr="00F215B6">
              <w:rPr>
                <w:rFonts w:ascii="Arial" w:eastAsia="Times New Roman" w:hAnsi="Arial" w:cs="Arial"/>
                <w:sz w:val="20"/>
                <w:szCs w:val="20"/>
                <w:vertAlign w:val="superscript"/>
                <w:lang w:eastAsia="en-AU"/>
              </w:rPr>
              <w:t>(</w:t>
            </w:r>
            <w:hyperlink r:id="rId9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15B6">
                <w:rPr>
                  <w:rFonts w:ascii="Arial" w:eastAsia="Times New Roman" w:hAnsi="Arial" w:cs="Arial"/>
                  <w:color w:val="0000FF"/>
                  <w:sz w:val="20"/>
                  <w:szCs w:val="20"/>
                  <w:vertAlign w:val="superscript"/>
                  <w:lang w:eastAsia="en-AU"/>
                </w:rPr>
                <w:t>69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multiple dwelling</w:t>
            </w:r>
            <w:r w:rsidRPr="00F215B6">
              <w:rPr>
                <w:rFonts w:ascii="Arial" w:eastAsia="Times New Roman" w:hAnsi="Arial" w:cs="Arial"/>
                <w:sz w:val="20"/>
                <w:szCs w:val="20"/>
                <w:vertAlign w:val="superscript"/>
                <w:lang w:eastAsia="en-AU"/>
              </w:rPr>
              <w:t>(</w:t>
            </w:r>
            <w:hyperlink r:id="rId94" w:anchor="target-d60297e448163" w:tooltip="Multiple dwelling - Premises containing three or more dwellings for separate households." w:history="1">
              <w:r w:rsidRPr="00F215B6">
                <w:rPr>
                  <w:rFonts w:ascii="Arial" w:eastAsia="Times New Roman" w:hAnsi="Arial" w:cs="Arial"/>
                  <w:color w:val="0000FF"/>
                  <w:sz w:val="20"/>
                  <w:szCs w:val="20"/>
                  <w:vertAlign w:val="superscript"/>
                  <w:lang w:eastAsia="en-AU"/>
                </w:rPr>
                <w:t>49</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non-resident workforce accommodation</w:t>
            </w:r>
            <w:r w:rsidRPr="00F215B6">
              <w:rPr>
                <w:rFonts w:ascii="Arial" w:eastAsia="Times New Roman" w:hAnsi="Arial" w:cs="Arial"/>
                <w:sz w:val="20"/>
                <w:szCs w:val="20"/>
                <w:vertAlign w:val="superscript"/>
                <w:lang w:eastAsia="en-AU"/>
              </w:rPr>
              <w:t>(</w:t>
            </w:r>
            <w:hyperlink r:id="rId9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215B6">
                <w:rPr>
                  <w:rFonts w:ascii="Arial" w:eastAsia="Times New Roman" w:hAnsi="Arial" w:cs="Arial"/>
                  <w:color w:val="0000FF"/>
                  <w:sz w:val="20"/>
                  <w:szCs w:val="20"/>
                  <w:vertAlign w:val="superscript"/>
                  <w:lang w:eastAsia="en-AU"/>
                </w:rPr>
                <w:t>52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relocatable home park</w:t>
            </w:r>
            <w:r w:rsidRPr="00F215B6">
              <w:rPr>
                <w:rFonts w:ascii="Arial" w:eastAsia="Times New Roman" w:hAnsi="Arial" w:cs="Arial"/>
                <w:sz w:val="20"/>
                <w:szCs w:val="20"/>
                <w:vertAlign w:val="superscript"/>
                <w:lang w:eastAsia="en-AU"/>
              </w:rPr>
              <w:t>(</w:t>
            </w:r>
            <w:hyperlink r:id="rId9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15B6">
                <w:rPr>
                  <w:rFonts w:ascii="Arial" w:eastAsia="Times New Roman" w:hAnsi="Arial" w:cs="Arial"/>
                  <w:color w:val="0000FF"/>
                  <w:sz w:val="20"/>
                  <w:szCs w:val="20"/>
                  <w:vertAlign w:val="superscript"/>
                  <w:lang w:eastAsia="en-AU"/>
                </w:rPr>
                <w:t>62</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residential care facility</w:t>
            </w:r>
            <w:r w:rsidRPr="00F215B6">
              <w:rPr>
                <w:rFonts w:ascii="Arial" w:eastAsia="Times New Roman" w:hAnsi="Arial" w:cs="Arial"/>
                <w:sz w:val="20"/>
                <w:szCs w:val="20"/>
                <w:vertAlign w:val="superscript"/>
                <w:lang w:eastAsia="en-AU"/>
              </w:rPr>
              <w:t>(</w:t>
            </w:r>
            <w:hyperlink r:id="rId9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15B6">
                <w:rPr>
                  <w:rFonts w:ascii="Arial" w:eastAsia="Times New Roman" w:hAnsi="Arial" w:cs="Arial"/>
                  <w:color w:val="0000FF"/>
                  <w:sz w:val="20"/>
                  <w:szCs w:val="20"/>
                  <w:vertAlign w:val="superscript"/>
                  <w:lang w:eastAsia="en-AU"/>
                </w:rPr>
                <w:t>65</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resort complex</w:t>
            </w:r>
            <w:r w:rsidRPr="00F215B6">
              <w:rPr>
                <w:rFonts w:ascii="Arial" w:eastAsia="Times New Roman" w:hAnsi="Arial" w:cs="Arial"/>
                <w:sz w:val="20"/>
                <w:szCs w:val="20"/>
                <w:vertAlign w:val="superscript"/>
                <w:lang w:eastAsia="en-AU"/>
              </w:rPr>
              <w:t>(</w:t>
            </w:r>
            <w:hyperlink r:id="rId9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215B6">
                <w:rPr>
                  <w:rFonts w:ascii="Arial" w:eastAsia="Times New Roman" w:hAnsi="Arial" w:cs="Arial"/>
                  <w:color w:val="0000FF"/>
                  <w:sz w:val="20"/>
                  <w:szCs w:val="20"/>
                  <w:vertAlign w:val="superscript"/>
                  <w:lang w:eastAsia="en-AU"/>
                </w:rPr>
                <w:t>66</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retirement facility</w:t>
            </w:r>
            <w:r w:rsidRPr="00F215B6">
              <w:rPr>
                <w:rFonts w:ascii="Arial" w:eastAsia="Times New Roman" w:hAnsi="Arial" w:cs="Arial"/>
                <w:sz w:val="20"/>
                <w:szCs w:val="20"/>
                <w:vertAlign w:val="superscript"/>
                <w:lang w:eastAsia="en-AU"/>
              </w:rPr>
              <w:t>(</w:t>
            </w:r>
            <w:hyperlink r:id="rId9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15B6">
                <w:rPr>
                  <w:rFonts w:ascii="Arial" w:eastAsia="Times New Roman" w:hAnsi="Arial" w:cs="Arial"/>
                  <w:color w:val="0000FF"/>
                  <w:sz w:val="20"/>
                  <w:szCs w:val="20"/>
                  <w:vertAlign w:val="superscript"/>
                  <w:lang w:eastAsia="en-AU"/>
                </w:rPr>
                <w:t>67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rural workers’ accommodation</w:t>
            </w:r>
            <w:r w:rsidRPr="00F215B6">
              <w:rPr>
                <w:rFonts w:ascii="Arial" w:eastAsia="Times New Roman" w:hAnsi="Arial" w:cs="Arial"/>
                <w:sz w:val="20"/>
                <w:szCs w:val="20"/>
                <w:vertAlign w:val="superscript"/>
                <w:lang w:eastAsia="en-AU"/>
              </w:rPr>
              <w:t>(</w:t>
            </w:r>
            <w:hyperlink r:id="rId10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215B6">
                <w:rPr>
                  <w:rFonts w:ascii="Arial" w:eastAsia="Times New Roman" w:hAnsi="Arial" w:cs="Arial"/>
                  <w:color w:val="0000FF"/>
                  <w:sz w:val="20"/>
                  <w:szCs w:val="20"/>
                  <w:vertAlign w:val="superscript"/>
                  <w:lang w:eastAsia="en-AU"/>
                </w:rPr>
                <w:t>71</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F215B6"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short term accommodation</w:t>
            </w:r>
            <w:r w:rsidRPr="00F215B6">
              <w:rPr>
                <w:rFonts w:ascii="Arial" w:eastAsia="Times New Roman" w:hAnsi="Arial" w:cs="Arial"/>
                <w:sz w:val="20"/>
                <w:szCs w:val="20"/>
                <w:vertAlign w:val="superscript"/>
                <w:lang w:eastAsia="en-AU"/>
              </w:rPr>
              <w:t>(</w:t>
            </w:r>
            <w:hyperlink r:id="rId10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15B6">
                <w:rPr>
                  <w:rFonts w:ascii="Arial" w:eastAsia="Times New Roman" w:hAnsi="Arial" w:cs="Arial"/>
                  <w:color w:val="0000FF"/>
                  <w:sz w:val="20"/>
                  <w:szCs w:val="20"/>
                  <w:vertAlign w:val="superscript"/>
                  <w:lang w:eastAsia="en-AU"/>
                </w:rPr>
                <w:t>77</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p w:rsidR="00A31CFF" w:rsidRPr="00C904A8" w:rsidRDefault="00A31CFF" w:rsidP="00C904A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tourist park</w:t>
            </w:r>
            <w:r w:rsidRPr="00F215B6">
              <w:rPr>
                <w:rFonts w:ascii="Arial" w:eastAsia="Times New Roman" w:hAnsi="Arial" w:cs="Arial"/>
                <w:sz w:val="20"/>
                <w:szCs w:val="20"/>
                <w:vertAlign w:val="superscript"/>
                <w:lang w:eastAsia="en-AU"/>
              </w:rPr>
              <w:t>(</w:t>
            </w:r>
            <w:hyperlink r:id="rId10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215B6">
                <w:rPr>
                  <w:rFonts w:ascii="Arial" w:eastAsia="Times New Roman" w:hAnsi="Arial" w:cs="Arial"/>
                  <w:color w:val="0000FF"/>
                  <w:sz w:val="20"/>
                  <w:szCs w:val="20"/>
                  <w:vertAlign w:val="superscript"/>
                  <w:lang w:eastAsia="en-AU"/>
                </w:rPr>
                <w:t>84</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RAD50</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All habitable rooms located within an Electricity supply substation buffer are:</w:t>
            </w:r>
          </w:p>
          <w:p w:rsidR="00A31CFF" w:rsidRPr="00F215B6" w:rsidRDefault="00A31CFF" w:rsidP="00C90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located a minimum of 10m from an electricity supply substation</w:t>
            </w:r>
            <w:r w:rsidRPr="00F215B6">
              <w:rPr>
                <w:rFonts w:ascii="Arial" w:eastAsia="Times New Roman" w:hAnsi="Arial" w:cs="Arial"/>
                <w:sz w:val="20"/>
                <w:szCs w:val="20"/>
                <w:vertAlign w:val="superscript"/>
                <w:lang w:eastAsia="en-AU"/>
              </w:rPr>
              <w:t>(</w:t>
            </w:r>
            <w:hyperlink r:id="rId10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215B6">
                <w:rPr>
                  <w:rFonts w:ascii="Arial" w:eastAsia="Times New Roman" w:hAnsi="Arial" w:cs="Arial"/>
                  <w:color w:val="0000FF"/>
                  <w:sz w:val="20"/>
                  <w:szCs w:val="20"/>
                  <w:vertAlign w:val="superscript"/>
                  <w:lang w:eastAsia="en-AU"/>
                </w:rPr>
                <w:t>80</w:t>
              </w:r>
            </w:hyperlink>
            <w:r w:rsidRPr="00F215B6">
              <w:rPr>
                <w:rFonts w:ascii="Arial" w:eastAsia="Times New Roman" w:hAnsi="Arial" w:cs="Arial"/>
                <w:sz w:val="20"/>
                <w:szCs w:val="20"/>
                <w:vertAlign w:val="superscript"/>
                <w:lang w:eastAsia="en-AU"/>
              </w:rPr>
              <w:t>)</w:t>
            </w:r>
            <w:r w:rsidRPr="00F215B6">
              <w:rPr>
                <w:rFonts w:ascii="Arial" w:eastAsia="Times New Roman" w:hAnsi="Arial" w:cs="Arial"/>
                <w:sz w:val="20"/>
                <w:szCs w:val="20"/>
                <w:lang w:eastAsia="en-AU"/>
              </w:rPr>
              <w:t xml:space="preserve"> ; and </w:t>
            </w:r>
          </w:p>
          <w:p w:rsidR="00A31CFF" w:rsidRPr="00C904A8" w:rsidRDefault="00A31CFF" w:rsidP="00C904A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RAD51</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78"/>
            </w:tblGrid>
            <w:tr w:rsidR="007849E7" w:rsidRPr="00F215B6" w:rsidTr="00A31CFF">
              <w:trPr>
                <w:tblCellSpacing w:w="15" w:type="dxa"/>
              </w:trPr>
              <w:tc>
                <w:tcPr>
                  <w:tcW w:w="15383" w:type="dxa"/>
                  <w:vAlign w:val="center"/>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7849E7" w:rsidRPr="00F215B6" w:rsidRDefault="007849E7"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RAD52</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 development is to occur within:</w:t>
            </w:r>
          </w:p>
          <w:p w:rsidR="00A31CFF" w:rsidRPr="00F215B6" w:rsidRDefault="00A31CFF" w:rsidP="00C904A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50m from top of bank for W1 waterway and drainage line</w:t>
            </w:r>
          </w:p>
          <w:p w:rsidR="00A31CFF" w:rsidRPr="00F215B6" w:rsidRDefault="00A31CFF" w:rsidP="00C904A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30m from top of bank for W2 waterway and drainage line</w:t>
            </w:r>
          </w:p>
          <w:p w:rsidR="00A31CFF" w:rsidRPr="00F215B6" w:rsidRDefault="00A31CFF" w:rsidP="00C904A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20m from top of bank for W3 waterway and drainage line</w:t>
            </w:r>
          </w:p>
          <w:p w:rsidR="00A31CFF" w:rsidRPr="00F215B6" w:rsidRDefault="00A31CFF" w:rsidP="00C904A8">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A31CFF" w:rsidRPr="00F215B6" w:rsidRDefault="00A31CFF" w:rsidP="00C904A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Note - The minimum setback distance applies to the each side of waterway.</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Scenic amenity - Regionally significant (Hills) and Locally important (Coast) - (refer Overlay map - Scenic amenity to determine if the following requirements apply)</w:t>
            </w:r>
          </w:p>
          <w:p w:rsidR="007849E7" w:rsidRPr="00F215B6" w:rsidRDefault="007849E7"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RAD53</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Where located in the Regionally significant (Hills) scenic amenity overlay, buildings and structures are not:</w:t>
            </w:r>
          </w:p>
          <w:p w:rsidR="00A31CFF" w:rsidRPr="00F215B6" w:rsidRDefault="00A31CFF" w:rsidP="00C90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located on a hill top or ridge line; and</w:t>
            </w:r>
          </w:p>
          <w:p w:rsidR="00A31CFF" w:rsidRPr="00F215B6" w:rsidRDefault="00A31CFF" w:rsidP="00C904A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all parts of the building and structure are located below the hill top or ridge line.</w:t>
            </w:r>
          </w:p>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drawing>
                <wp:inline distT="0" distB="0" distL="0" distR="0" wp14:anchorId="50582802" wp14:editId="6103B6CE">
                  <wp:extent cx="3629025" cy="3343275"/>
                  <wp:effectExtent l="0" t="0" r="9525" b="9525"/>
                  <wp:docPr id="12" name="Picture 1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itting on a slope"/>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RAD54</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Where located in the Regionally significant (Hills) scenic amenity overlay, driveways and accessways:</w:t>
            </w:r>
          </w:p>
          <w:p w:rsidR="00A31CFF" w:rsidRPr="00F215B6" w:rsidRDefault="00A31CFF" w:rsidP="00C90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go across land contours and do not cut straight up slopes;</w:t>
            </w:r>
          </w:p>
          <w:p w:rsidR="00A31CFF" w:rsidRPr="00F215B6" w:rsidRDefault="00A31CFF" w:rsidP="00C904A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follow natural contours, not resulting in batters or retaining walls being greater </w:t>
            </w:r>
            <w:r w:rsidRPr="00F215B6">
              <w:rPr>
                <w:rFonts w:ascii="Arial" w:eastAsia="Times New Roman" w:hAnsi="Arial" w:cs="Arial"/>
                <w:sz w:val="20"/>
                <w:szCs w:val="20"/>
                <w:lang w:eastAsia="en-AU"/>
              </w:rPr>
              <w:lastRenderedPageBreak/>
              <w:t>than 1m in height.</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drawing>
                <wp:inline distT="0" distB="0" distL="0" distR="0" wp14:anchorId="6688F41F" wp14:editId="2F0A29B2">
                  <wp:extent cx="3600450" cy="3048000"/>
                  <wp:effectExtent l="0" t="0" r="0" b="0"/>
                  <wp:docPr id="11" name="Picture 1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arages and driveways pic"/>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RAD55</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747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48"/>
              <w:gridCol w:w="2883"/>
              <w:gridCol w:w="2539"/>
            </w:tblGrid>
            <w:tr w:rsidR="00A31CFF" w:rsidRPr="00F215B6" w:rsidTr="007849E7">
              <w:trPr>
                <w:tblCellSpacing w:w="15" w:type="dxa"/>
              </w:trPr>
              <w:tc>
                <w:tcPr>
                  <w:tcW w:w="7410"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A31CFF" w:rsidRPr="00F215B6" w:rsidRDefault="00A31CFF" w:rsidP="00C904A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Colours from Australian Standard AS2700s – 1996</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G12 – Holly</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G53 – Banksia</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N44 – Bridge Grey</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G13 – Emerald</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G54 – Mist Green</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N45 – Koala Grey</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G14 – Moss Green</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G55 – Lichen</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N52 – Mid Grey</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G15 – Rainforest Green</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G56 – Sage Green</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N54 – Basalt</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G16 – Traffic Green</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G62 – Rivergum</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N55 – Lead Grey</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G17 – Mint Green</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G64 – Slate</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X54 – Brown</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lastRenderedPageBreak/>
                    <w:t>G21 – Jade</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G65 – Ti Tree</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X61 – Wombat</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G22 – Serpentine</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N25 – Birch Grey</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X62 – Dark Earth</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G23 – Shamrock</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N32 – Green Grey</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X63 – Iron Bark</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G24 – Fern Green</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N33 – Lightbox Grey</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Y51 – Bronze Olive</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G25 – Olive</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N35 – Light Grey</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Y61 – Black Olive</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G34 – Avocado</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N41 – Oyster </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Y63 – Khaki</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G52 – Eucalyptus</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N42 – Storm Grey</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Y66 – Mudstone</w:t>
                  </w:r>
                </w:p>
              </w:tc>
            </w:tr>
            <w:tr w:rsidR="00A31CFF" w:rsidRPr="00F215B6" w:rsidTr="007849E7">
              <w:trPr>
                <w:tblCellSpacing w:w="15" w:type="dxa"/>
              </w:trPr>
              <w:tc>
                <w:tcPr>
                  <w:tcW w:w="2003"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w:t>
                  </w:r>
                </w:p>
              </w:tc>
              <w:tc>
                <w:tcPr>
                  <w:tcW w:w="2853" w:type="dxa"/>
                  <w:tcBorders>
                    <w:top w:val="outset" w:sz="6" w:space="0" w:color="auto"/>
                    <w:left w:val="outset" w:sz="6" w:space="0" w:color="auto"/>
                    <w:bottom w:val="outset" w:sz="6" w:space="0" w:color="auto"/>
                    <w:right w:val="outset" w:sz="6" w:space="0" w:color="auto"/>
                  </w:tcBorders>
                  <w:vAlign w:val="bottom"/>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N43 – Pipeline Grey</w:t>
                  </w:r>
                </w:p>
              </w:tc>
              <w:tc>
                <w:tcPr>
                  <w:tcW w:w="2494" w:type="dxa"/>
                  <w:tcBorders>
                    <w:top w:val="outset" w:sz="6" w:space="0" w:color="auto"/>
                    <w:left w:val="outset" w:sz="6" w:space="0" w:color="auto"/>
                    <w:bottom w:val="outset" w:sz="6" w:space="0" w:color="auto"/>
                    <w:right w:val="outset" w:sz="6" w:space="0" w:color="auto"/>
                  </w:tcBorders>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RAD56</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Where located in the</w:t>
            </w:r>
            <w:r w:rsidR="00AD5793" w:rsidRPr="00F215B6">
              <w:rPr>
                <w:rFonts w:ascii="Arial" w:eastAsia="Times New Roman" w:hAnsi="Arial" w:cs="Arial"/>
                <w:sz w:val="20"/>
                <w:szCs w:val="20"/>
                <w:lang w:eastAsia="en-AU"/>
              </w:rPr>
              <w:t> Regionally</w:t>
            </w:r>
            <w:r w:rsidRPr="00F215B6">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549" w:type="pct"/>
            <w:gridSpan w:val="2"/>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t>RAD57</w:t>
            </w:r>
          </w:p>
        </w:tc>
        <w:tc>
          <w:tcPr>
            <w:tcW w:w="2483" w:type="pct"/>
            <w:tcBorders>
              <w:top w:val="outset" w:sz="6" w:space="0" w:color="auto"/>
              <w:left w:val="outset" w:sz="6" w:space="0" w:color="auto"/>
              <w:bottom w:val="outset" w:sz="6" w:space="0" w:color="auto"/>
              <w:right w:val="outset" w:sz="6" w:space="0" w:color="auto"/>
            </w:tcBorders>
            <w:hideMark/>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Where located  in the Locally important (Coast) scenic amenity overlay;</w:t>
            </w:r>
          </w:p>
          <w:p w:rsidR="00A31CFF" w:rsidRPr="00F215B6" w:rsidRDefault="00A31CFF" w:rsidP="00C90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landscaping comprises indigenous coastal species;</w:t>
            </w:r>
          </w:p>
          <w:p w:rsidR="00A31CFF" w:rsidRPr="00F215B6" w:rsidRDefault="00A31CFF" w:rsidP="00C90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fences and walls facing the coast are no higher than 1m. Where fences and walls are higher than 1m, they have 50% transparency.  This does not apply to a fence or wall at an angle of 90o to the coast; </w:t>
            </w:r>
          </w:p>
          <w:p w:rsidR="00A31CFF" w:rsidRPr="00F215B6" w:rsidRDefault="00A31CFF" w:rsidP="00C904A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where over 12m in height, the building design includes the following architectural character elements:</w:t>
            </w:r>
          </w:p>
          <w:p w:rsidR="00A31CFF" w:rsidRPr="00F215B6" w:rsidRDefault="00A31CFF" w:rsidP="00C904A8">
            <w:pPr>
              <w:numPr>
                <w:ilvl w:val="0"/>
                <w:numId w:val="34"/>
              </w:numPr>
              <w:spacing w:before="100" w:beforeAutospacing="1" w:after="100" w:afterAutospacing="1" w:line="240" w:lineRule="auto"/>
              <w:ind w:left="450" w:hanging="201"/>
              <w:rPr>
                <w:rFonts w:ascii="Arial" w:eastAsia="Times New Roman" w:hAnsi="Arial" w:cs="Arial"/>
                <w:sz w:val="20"/>
                <w:szCs w:val="20"/>
                <w:lang w:eastAsia="en-AU"/>
              </w:rPr>
            </w:pPr>
            <w:r w:rsidRPr="00F215B6">
              <w:rPr>
                <w:rFonts w:ascii="Arial" w:eastAsia="Times New Roman" w:hAnsi="Arial" w:cs="Arial"/>
                <w:sz w:val="20"/>
                <w:szCs w:val="20"/>
                <w:lang w:eastAsia="en-AU"/>
              </w:rPr>
              <w:t>curving balcony edges and walls, strong vertical blades and wall planes;</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drawing>
                <wp:anchor distT="0" distB="0" distL="114300" distR="114300" simplePos="0" relativeHeight="251694080" behindDoc="1" locked="0" layoutInCell="1" allowOverlap="1" wp14:anchorId="33EE62BD" wp14:editId="5B4EB4AA">
                  <wp:simplePos x="0" y="0"/>
                  <wp:positionH relativeFrom="column">
                    <wp:posOffset>-1270</wp:posOffset>
                  </wp:positionH>
                  <wp:positionV relativeFrom="paragraph">
                    <wp:posOffset>0</wp:posOffset>
                  </wp:positionV>
                  <wp:extent cx="5810250" cy="1447800"/>
                  <wp:effectExtent l="0" t="0" r="0" b="0"/>
                  <wp:wrapTight wrapText="bothSides">
                    <wp:wrapPolygon edited="0">
                      <wp:start x="0" y="0"/>
                      <wp:lineTo x="0" y="21316"/>
                      <wp:lineTo x="21529" y="21316"/>
                      <wp:lineTo x="21529" y="0"/>
                      <wp:lineTo x="0" y="0"/>
                    </wp:wrapPolygon>
                  </wp:wrapTight>
                  <wp:docPr id="10" name="Picture 10"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lcony roofs"/>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102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CFF" w:rsidRPr="00F215B6" w:rsidRDefault="00A31CFF" w:rsidP="00C904A8">
            <w:pPr>
              <w:numPr>
                <w:ilvl w:val="0"/>
                <w:numId w:val="35"/>
              </w:numPr>
              <w:spacing w:before="100" w:beforeAutospacing="1" w:after="100" w:afterAutospacing="1" w:line="240" w:lineRule="auto"/>
              <w:ind w:left="450" w:hanging="201"/>
              <w:rPr>
                <w:rFonts w:ascii="Arial" w:eastAsia="Times New Roman" w:hAnsi="Arial" w:cs="Arial"/>
                <w:sz w:val="20"/>
                <w:szCs w:val="20"/>
                <w:lang w:eastAsia="en-AU"/>
              </w:rPr>
            </w:pPr>
            <w:r w:rsidRPr="00F215B6">
              <w:rPr>
                <w:rFonts w:ascii="Arial" w:eastAsia="Times New Roman" w:hAnsi="Arial" w:cs="Arial"/>
                <w:sz w:val="20"/>
                <w:szCs w:val="20"/>
                <w:lang w:eastAsia="en-AU"/>
              </w:rPr>
              <w:t>balcony roofs, wall articulation expressed with different colours, curves in plan and section, and window awnings;</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lastRenderedPageBreak/>
              <w:drawing>
                <wp:anchor distT="0" distB="0" distL="114300" distR="114300" simplePos="0" relativeHeight="251669504" behindDoc="1" locked="0" layoutInCell="1" allowOverlap="1" wp14:anchorId="7575CCF3" wp14:editId="43447565">
                  <wp:simplePos x="0" y="0"/>
                  <wp:positionH relativeFrom="column">
                    <wp:posOffset>-1270</wp:posOffset>
                  </wp:positionH>
                  <wp:positionV relativeFrom="paragraph">
                    <wp:posOffset>0</wp:posOffset>
                  </wp:positionV>
                  <wp:extent cx="4857750" cy="1409700"/>
                  <wp:effectExtent l="0" t="0" r="0" b="0"/>
                  <wp:wrapTight wrapText="bothSides">
                    <wp:wrapPolygon edited="0">
                      <wp:start x="0" y="0"/>
                      <wp:lineTo x="0" y="21308"/>
                      <wp:lineTo x="21515" y="21308"/>
                      <wp:lineTo x="21515" y="0"/>
                      <wp:lineTo x="0" y="0"/>
                    </wp:wrapPolygon>
                  </wp:wrapTight>
                  <wp:docPr id="9" name="Picture 9"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oof top outlooks"/>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577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CFF" w:rsidRPr="00F215B6" w:rsidRDefault="00A31CFF" w:rsidP="00C904A8">
            <w:pPr>
              <w:numPr>
                <w:ilvl w:val="0"/>
                <w:numId w:val="36"/>
              </w:numPr>
              <w:spacing w:before="100" w:beforeAutospacing="1" w:after="100" w:afterAutospacing="1" w:line="240" w:lineRule="auto"/>
              <w:ind w:left="450" w:hanging="201"/>
              <w:rPr>
                <w:rFonts w:ascii="Arial" w:eastAsia="Times New Roman" w:hAnsi="Arial" w:cs="Arial"/>
                <w:sz w:val="20"/>
                <w:szCs w:val="20"/>
                <w:lang w:eastAsia="en-AU"/>
              </w:rPr>
            </w:pPr>
            <w:r w:rsidRPr="00F215B6">
              <w:rPr>
                <w:rFonts w:ascii="Arial" w:eastAsia="Times New Roman" w:hAnsi="Arial" w:cs="Arial"/>
                <w:sz w:val="20"/>
                <w:szCs w:val="20"/>
                <w:lang w:eastAsia="en-AU"/>
              </w:rPr>
              <w:t>Roof top outlooks, tensile structure as shading devices; and</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drawing>
                <wp:inline distT="0" distB="0" distL="0" distR="0" wp14:anchorId="34588BEB" wp14:editId="43FC833F">
                  <wp:extent cx="5857875" cy="1419225"/>
                  <wp:effectExtent l="0" t="0" r="9525" b="9525"/>
                  <wp:docPr id="8" name="Picture 8"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ght weight structures"/>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857875" cy="1419225"/>
                          </a:xfrm>
                          <a:prstGeom prst="rect">
                            <a:avLst/>
                          </a:prstGeom>
                          <a:noFill/>
                          <a:ln>
                            <a:noFill/>
                          </a:ln>
                        </pic:spPr>
                      </pic:pic>
                    </a:graphicData>
                  </a:graphic>
                </wp:inline>
              </w:drawing>
            </w:r>
          </w:p>
          <w:p w:rsidR="00A31CFF" w:rsidRPr="00F215B6" w:rsidRDefault="00A31CFF" w:rsidP="00C904A8">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F215B6">
              <w:rPr>
                <w:rFonts w:ascii="Arial" w:eastAsia="Times New Roman" w:hAnsi="Arial" w:cs="Arial"/>
                <w:sz w:val="20"/>
                <w:szCs w:val="20"/>
                <w:lang w:eastAsia="en-AU"/>
              </w:rPr>
              <w:t>lightweight structures use white frame elements in steel and timber, bold colour contrast.</w:t>
            </w:r>
          </w:p>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noProof/>
                <w:sz w:val="20"/>
                <w:szCs w:val="20"/>
                <w:lang w:eastAsia="en-AU"/>
              </w:rPr>
              <w:drawing>
                <wp:inline distT="0" distB="0" distL="0" distR="0" wp14:anchorId="4943EFAA" wp14:editId="4E4E1630">
                  <wp:extent cx="5819775" cy="1409700"/>
                  <wp:effectExtent l="0" t="0" r="9525" b="0"/>
                  <wp:docPr id="7" name="Picture 7"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ght weight Structure "/>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819775" cy="1409700"/>
                          </a:xfrm>
                          <a:prstGeom prst="rect">
                            <a:avLst/>
                          </a:prstGeom>
                          <a:noFill/>
                          <a:ln>
                            <a:noFill/>
                          </a:ln>
                        </pic:spPr>
                      </pic:pic>
                    </a:graphicData>
                  </a:graphic>
                </wp:inline>
              </w:drawing>
            </w:r>
          </w:p>
          <w:p w:rsidR="00A31CFF" w:rsidRPr="00F215B6" w:rsidRDefault="00A31CFF" w:rsidP="00C904A8">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F215B6">
              <w:rPr>
                <w:rFonts w:ascii="Arial" w:eastAsia="Times New Roman" w:hAnsi="Arial" w:cs="Arial"/>
                <w:sz w:val="20"/>
                <w:szCs w:val="20"/>
                <w:lang w:eastAsia="en-AU"/>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4"/>
            </w:tblGrid>
            <w:tr w:rsidR="00A31CFF" w:rsidRPr="00F215B6" w:rsidTr="00A31CFF">
              <w:trPr>
                <w:tblCellSpacing w:w="15" w:type="dxa"/>
              </w:trPr>
              <w:tc>
                <w:tcPr>
                  <w:tcW w:w="14625" w:type="dxa"/>
                  <w:vAlign w:val="center"/>
                  <w:hideMark/>
                </w:tcPr>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A list of appropriate indigenous coastal species is identified in Planning </w:t>
                  </w:r>
                  <w:r w:rsidRPr="00F215B6">
                    <w:rPr>
                      <w:rFonts w:ascii="Arial" w:eastAsia="Times New Roman" w:hAnsi="Arial" w:cs="Arial"/>
                      <w:sz w:val="20"/>
                      <w:szCs w:val="20"/>
                      <w:lang w:eastAsia="en-AU"/>
                    </w:rPr>
                    <w:lastRenderedPageBreak/>
                    <w:t>scheme policy - Integrated design.</w:t>
                  </w:r>
                </w:p>
              </w:tc>
            </w:tr>
          </w:tbl>
          <w:p w:rsidR="00A31CFF" w:rsidRPr="00F215B6" w:rsidRDefault="00A31CFF" w:rsidP="00C904A8">
            <w:pPr>
              <w:spacing w:before="100" w:beforeAutospacing="1" w:after="100" w:afterAutospacing="1" w:line="240" w:lineRule="auto"/>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c>
          <w:tcPr>
            <w:tcW w:w="1111" w:type="pct"/>
            <w:gridSpan w:val="2"/>
            <w:tcBorders>
              <w:top w:val="outset" w:sz="6" w:space="0" w:color="auto"/>
              <w:left w:val="outset" w:sz="6" w:space="0" w:color="auto"/>
              <w:bottom w:val="outset" w:sz="6" w:space="0" w:color="auto"/>
              <w:right w:val="outset" w:sz="6" w:space="0" w:color="auto"/>
            </w:tcBorders>
          </w:tcPr>
          <w:p w:rsidR="00A31CFF" w:rsidRPr="00F215B6" w:rsidRDefault="00A31CFF" w:rsidP="00C904A8">
            <w:pPr>
              <w:spacing w:before="100" w:beforeAutospacing="1" w:after="100" w:afterAutospacing="1" w:line="240" w:lineRule="auto"/>
              <w:ind w:left="150" w:right="150"/>
              <w:rPr>
                <w:rFonts w:ascii="Arial" w:eastAsia="Times New Roman" w:hAnsi="Arial" w:cs="Arial"/>
                <w:sz w:val="20"/>
                <w:szCs w:val="20"/>
                <w:lang w:eastAsia="en-AU"/>
              </w:rPr>
            </w:pPr>
          </w:p>
        </w:tc>
      </w:tr>
      <w:tr w:rsidR="007849E7" w:rsidRPr="00F215B6" w:rsidTr="007849E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b/>
                <w:bCs/>
                <w:sz w:val="20"/>
                <w:szCs w:val="20"/>
                <w:lang w:eastAsia="en-AU"/>
              </w:rPr>
              <w:lastRenderedPageBreak/>
              <w:t>Transport noise corridors (refer Overlay map - Transport noise corridors)</w:t>
            </w:r>
          </w:p>
          <w:tbl>
            <w:tblPr>
              <w:tblW w:w="1546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66"/>
            </w:tblGrid>
            <w:tr w:rsidR="007849E7" w:rsidRPr="00F215B6" w:rsidTr="00C904A8">
              <w:trPr>
                <w:tblCellSpacing w:w="15" w:type="dxa"/>
              </w:trPr>
              <w:tc>
                <w:tcPr>
                  <w:tcW w:w="15406" w:type="dxa"/>
                  <w:vAlign w:val="center"/>
                  <w:hideMark/>
                </w:tcPr>
                <w:p w:rsidR="007849E7" w:rsidRPr="00F215B6" w:rsidRDefault="007849E7" w:rsidP="00C904A8">
                  <w:pPr>
                    <w:spacing w:before="100" w:beforeAutospacing="1" w:after="100" w:afterAutospacing="1" w:line="240" w:lineRule="auto"/>
                    <w:ind w:left="150" w:right="150"/>
                    <w:rPr>
                      <w:rFonts w:ascii="Arial" w:eastAsia="Times New Roman" w:hAnsi="Arial" w:cs="Arial"/>
                      <w:sz w:val="20"/>
                      <w:szCs w:val="20"/>
                      <w:lang w:eastAsia="en-AU"/>
                    </w:rPr>
                  </w:pPr>
                  <w:r w:rsidRPr="00F215B6">
                    <w:rPr>
                      <w:rFonts w:ascii="Arial" w:eastAsia="Times New Roman" w:hAnsi="Arial" w:cs="Arial"/>
                      <w:sz w:val="20"/>
                      <w:szCs w:val="20"/>
                      <w:lang w:eastAsia="en-AU"/>
                    </w:rPr>
                    <w:t xml:space="preserve">Note - This is for information purposes only. No requirements for accepted development or assessable criteria apply. Development located within a Transport Noise Corridor must satisfy the requirements of the Queensland Development Code </w:t>
                  </w:r>
                </w:p>
              </w:tc>
            </w:tr>
          </w:tbl>
          <w:p w:rsidR="007849E7" w:rsidRPr="00F215B6" w:rsidRDefault="007849E7" w:rsidP="00C904A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904A8" w:rsidRDefault="00C904A8" w:rsidP="00C904A8">
      <w:pPr>
        <w:spacing w:before="100" w:beforeAutospacing="1" w:after="100" w:afterAutospacing="1" w:line="240" w:lineRule="auto"/>
        <w:rPr>
          <w:rFonts w:ascii="Arial" w:hAnsi="Arial" w:cs="Arial"/>
          <w:sz w:val="20"/>
          <w:szCs w:val="20"/>
        </w:rPr>
      </w:pPr>
    </w:p>
    <w:p w:rsidR="00C904A8" w:rsidRDefault="00C904A8">
      <w:pPr>
        <w:rPr>
          <w:rFonts w:ascii="Arial" w:hAnsi="Arial" w:cs="Arial"/>
          <w:sz w:val="20"/>
          <w:szCs w:val="20"/>
        </w:rPr>
      </w:pPr>
      <w:r>
        <w:rPr>
          <w:rFonts w:ascii="Arial" w:hAnsi="Arial" w:cs="Arial"/>
          <w:sz w:val="20"/>
          <w:szCs w:val="20"/>
        </w:rPr>
        <w:br w:type="page"/>
      </w:r>
    </w:p>
    <w:p w:rsidR="00C904A8" w:rsidRPr="00076E12" w:rsidRDefault="00C904A8" w:rsidP="00C904A8">
      <w:pPr>
        <w:shd w:val="clear" w:color="auto" w:fill="FFFFFF"/>
        <w:spacing w:before="100" w:beforeAutospacing="1" w:after="100" w:afterAutospacing="1" w:line="240" w:lineRule="auto"/>
        <w:ind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Setback Tables</w:t>
      </w:r>
    </w:p>
    <w:p w:rsidR="00C904A8" w:rsidRPr="00076E12"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399"/>
        <w:gridCol w:w="1384"/>
        <w:gridCol w:w="1384"/>
        <w:gridCol w:w="1708"/>
        <w:gridCol w:w="1385"/>
        <w:gridCol w:w="1385"/>
        <w:gridCol w:w="1708"/>
        <w:gridCol w:w="1443"/>
        <w:gridCol w:w="1327"/>
        <w:gridCol w:w="1385"/>
        <w:gridCol w:w="980"/>
      </w:tblGrid>
      <w:tr w:rsidR="00C904A8" w:rsidRPr="00076E12" w:rsidTr="009915AD">
        <w:trPr>
          <w:tblCellSpacing w:w="15" w:type="dxa"/>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9.3.1.3 Setbacks</w:t>
            </w:r>
          </w:p>
        </w:tc>
      </w:tr>
      <w:tr w:rsidR="00C904A8" w:rsidRPr="00076E12" w:rsidTr="009915AD">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Coastal communities precinct and Redcliffe Kippa-Ring local plan - Interim residential precinct</w:t>
            </w:r>
          </w:p>
        </w:tc>
      </w:tr>
      <w:tr w:rsidR="00C904A8" w:rsidRPr="00076E12" w:rsidTr="009915AD">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 of wall</w:t>
            </w:r>
          </w:p>
        </w:tc>
        <w:tc>
          <w:tcPr>
            <w:tcW w:w="500"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Primary</w:t>
            </w:r>
          </w:p>
        </w:tc>
        <w:tc>
          <w:tcPr>
            <w:tcW w:w="500"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Secondary to street</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 Secondary to lane</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Side To OMP and wall</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C904A8" w:rsidRPr="00076E12" w:rsidTr="009915AD">
        <w:trPr>
          <w:tblCellSpacing w:w="15" w:type="dxa"/>
        </w:trPr>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88"/>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88"/>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r>
      <w:tr w:rsidR="00C904A8" w:rsidRPr="00076E12" w:rsidTr="009915A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4.5m to 8.5m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C904A8" w:rsidRDefault="00C904A8" w:rsidP="00C904A8">
      <w:pPr>
        <w:shd w:val="clear" w:color="auto" w:fill="FFFFFF"/>
        <w:spacing w:before="100" w:beforeAutospacing="1" w:after="100" w:afterAutospacing="1" w:line="240" w:lineRule="auto"/>
        <w:ind w:left="3450" w:right="150"/>
        <w:rPr>
          <w:rFonts w:ascii="Arial" w:eastAsia="Times New Roman" w:hAnsi="Arial" w:cs="Arial"/>
          <w:b/>
          <w:bCs/>
          <w:sz w:val="20"/>
          <w:szCs w:val="20"/>
          <w:lang w:eastAsia="en-AU"/>
        </w:rPr>
      </w:pPr>
    </w:p>
    <w:p w:rsidR="00C904A8" w:rsidRDefault="00C904A8" w:rsidP="00C904A8">
      <w:pPr>
        <w:shd w:val="clear" w:color="auto" w:fill="FFFFFF"/>
        <w:spacing w:before="100" w:beforeAutospacing="1" w:after="100" w:afterAutospacing="1" w:line="240" w:lineRule="auto"/>
        <w:ind w:left="3450" w:right="150"/>
        <w:rPr>
          <w:rFonts w:ascii="Arial" w:eastAsia="Times New Roman" w:hAnsi="Arial" w:cs="Arial"/>
          <w:b/>
          <w:bCs/>
          <w:sz w:val="20"/>
          <w:szCs w:val="20"/>
          <w:lang w:eastAsia="en-AU"/>
        </w:rPr>
      </w:pPr>
    </w:p>
    <w:p w:rsidR="00C904A8" w:rsidRPr="00076E12" w:rsidRDefault="00C904A8" w:rsidP="00C904A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330"/>
        <w:gridCol w:w="1466"/>
        <w:gridCol w:w="1467"/>
        <w:gridCol w:w="1467"/>
        <w:gridCol w:w="1467"/>
        <w:gridCol w:w="1467"/>
        <w:gridCol w:w="1467"/>
        <w:gridCol w:w="1443"/>
        <w:gridCol w:w="1467"/>
        <w:gridCol w:w="1467"/>
        <w:gridCol w:w="980"/>
      </w:tblGrid>
      <w:tr w:rsidR="00C904A8" w:rsidRPr="00076E12" w:rsidTr="009915AD">
        <w:trPr>
          <w:tblCellSpacing w:w="15" w:type="dxa"/>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Table 9.3.1.4 Setbacks</w:t>
            </w:r>
          </w:p>
        </w:tc>
      </w:tr>
      <w:tr w:rsidR="00C904A8" w:rsidRPr="00076E12" w:rsidTr="009915AD">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 - Suburban neighbourhood precinct and Township zone - Residential precinct</w:t>
            </w:r>
          </w:p>
        </w:tc>
      </w:tr>
      <w:tr w:rsidR="00C904A8" w:rsidRPr="00076E12" w:rsidTr="009915A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w:t>
            </w:r>
            <w:r>
              <w:rPr>
                <w:rFonts w:ascii="Arial" w:eastAsia="Times New Roman" w:hAnsi="Arial" w:cs="Arial"/>
                <w:b/>
                <w:bCs/>
                <w:sz w:val="20"/>
                <w:szCs w:val="20"/>
                <w:lang w:eastAsia="en-AU"/>
              </w:rPr>
              <w:t xml:space="preserve"> </w:t>
            </w:r>
            <w:r w:rsidRPr="00076E12">
              <w:rPr>
                <w:rFonts w:ascii="Arial" w:eastAsia="Times New Roman" w:hAnsi="Arial" w:cs="Arial"/>
                <w:b/>
                <w:bCs/>
                <w:sz w:val="20"/>
                <w:szCs w:val="20"/>
                <w:lang w:eastAsia="en-AU"/>
              </w:rPr>
              <w:t>of wall</w:t>
            </w:r>
          </w:p>
        </w:tc>
        <w:tc>
          <w:tcPr>
            <w:tcW w:w="0" w:type="auto"/>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Primary</w:t>
            </w:r>
          </w:p>
        </w:tc>
        <w:tc>
          <w:tcPr>
            <w:tcW w:w="0" w:type="auto"/>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Secondary to street</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w:t>
            </w:r>
            <w:r w:rsidRPr="00076E12">
              <w:rPr>
                <w:rFonts w:ascii="Arial" w:eastAsia="Times New Roman" w:hAnsi="Arial" w:cs="Arial"/>
                <w:b/>
                <w:bCs/>
                <w:sz w:val="20"/>
                <w:szCs w:val="20"/>
                <w:lang w:eastAsia="en-AU"/>
              </w:rPr>
              <w:br/>
              <w:t>Secondary to lane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Side</w:t>
            </w:r>
            <w:r w:rsidRPr="00076E12">
              <w:rPr>
                <w:rFonts w:ascii="Arial" w:eastAsia="Times New Roman" w:hAnsi="Arial" w:cs="Arial"/>
                <w:b/>
                <w:bCs/>
                <w:sz w:val="20"/>
                <w:szCs w:val="20"/>
                <w:lang w:eastAsia="en-AU"/>
              </w:rPr>
              <w:br/>
              <w:t>Non-built to boundary wall To OMP and wall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C904A8" w:rsidRPr="00076E12" w:rsidTr="009915AD">
        <w:trPr>
          <w:tblCellSpacing w:w="15" w:type="dxa"/>
        </w:trPr>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347"/>
            </w:tblGrid>
            <w:tr w:rsidR="00C904A8" w:rsidRPr="00076E12" w:rsidTr="009915AD">
              <w:trPr>
                <w:tblCellSpacing w:w="15" w:type="dxa"/>
                <w:jc w:val="center"/>
              </w:trPr>
              <w:tc>
                <w:tcPr>
                  <w:tcW w:w="0" w:type="auto"/>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347"/>
            </w:tblGrid>
            <w:tr w:rsidR="00C904A8" w:rsidRPr="00076E12" w:rsidTr="009915AD">
              <w:trPr>
                <w:tblCellSpacing w:w="15" w:type="dxa"/>
                <w:jc w:val="center"/>
              </w:trPr>
              <w:tc>
                <w:tcPr>
                  <w:tcW w:w="0" w:type="auto"/>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r w:rsidRPr="00076E12">
              <w:rPr>
                <w:rFonts w:ascii="Arial" w:eastAsia="Times New Roman" w:hAnsi="Arial" w:cs="Arial"/>
                <w:sz w:val="20"/>
                <w:szCs w:val="20"/>
                <w:lang w:eastAsia="en-AU"/>
              </w:rPr>
              <w:t xml:space="preserve">, </w:t>
            </w:r>
            <w:r w:rsidRPr="00076E12">
              <w:rPr>
                <w:rFonts w:ascii="Arial" w:eastAsia="Times New Roman" w:hAnsi="Arial" w:cs="Arial"/>
                <w:b/>
                <w:bCs/>
                <w:sz w:val="20"/>
                <w:szCs w:val="20"/>
                <w:lang w:eastAsia="en-AU"/>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r>
      <w:tr w:rsidR="00C904A8" w:rsidRPr="00076E12" w:rsidTr="009915AD">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w:t>
            </w:r>
          </w:p>
        </w:tc>
        <w:tc>
          <w:tcPr>
            <w:tcW w:w="45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4.5m to 8.5m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45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45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tcBorders>
              <w:top w:val="outset" w:sz="6" w:space="0" w:color="auto"/>
              <w:left w:val="outset" w:sz="6" w:space="0" w:color="auto"/>
              <w:bottom w:val="outset" w:sz="6" w:space="0" w:color="auto"/>
              <w:right w:val="outset" w:sz="6" w:space="0" w:color="auto"/>
            </w:tcBorders>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C904A8"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br/>
      </w:r>
    </w:p>
    <w:p w:rsidR="00C904A8" w:rsidRDefault="00C904A8" w:rsidP="00C904A8">
      <w:pPr>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C904A8" w:rsidRPr="00076E12"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p>
    <w:p w:rsidR="00C904A8" w:rsidRPr="00076E12" w:rsidRDefault="00C904A8" w:rsidP="00C904A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464"/>
        <w:gridCol w:w="1449"/>
        <w:gridCol w:w="1449"/>
        <w:gridCol w:w="1449"/>
        <w:gridCol w:w="1449"/>
        <w:gridCol w:w="1449"/>
        <w:gridCol w:w="1449"/>
        <w:gridCol w:w="1450"/>
        <w:gridCol w:w="1450"/>
        <w:gridCol w:w="1450"/>
        <w:gridCol w:w="980"/>
      </w:tblGrid>
      <w:tr w:rsidR="00C904A8" w:rsidRPr="00076E12" w:rsidTr="009915AD">
        <w:trPr>
          <w:tblCellSpacing w:w="15" w:type="dxa"/>
        </w:trPr>
        <w:tc>
          <w:tcPr>
            <w:tcW w:w="0" w:type="auto"/>
            <w:gridSpan w:val="11"/>
            <w:shd w:val="clear" w:color="auto" w:fill="CCCCCC"/>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9.3.1.5 Setbacks</w:t>
            </w:r>
          </w:p>
        </w:tc>
      </w:tr>
      <w:tr w:rsidR="00C904A8" w:rsidRPr="00076E12" w:rsidTr="009915AD">
        <w:trPr>
          <w:tblCellSpacing w:w="15" w:type="dxa"/>
        </w:trPr>
        <w:tc>
          <w:tcPr>
            <w:tcW w:w="0" w:type="auto"/>
            <w:gridSpan w:val="11"/>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 Emerging community zone - Transition precinct (developed lot), General residential zone - Next generation neighbourhood precinct and Caboolture West local plan - Urban living precinct (Next generation neighbourhood sub-precinct)</w:t>
            </w:r>
          </w:p>
        </w:tc>
      </w:tr>
      <w:tr w:rsidR="00C904A8" w:rsidRPr="00076E12" w:rsidTr="009915AD">
        <w:trPr>
          <w:tblCellSpacing w:w="15" w:type="dxa"/>
        </w:trPr>
        <w:tc>
          <w:tcPr>
            <w:tcW w:w="500" w:type="pct"/>
            <w:vMerge w:val="restar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w:t>
            </w:r>
            <w:r>
              <w:rPr>
                <w:rFonts w:ascii="Arial" w:eastAsia="Times New Roman" w:hAnsi="Arial" w:cs="Arial"/>
                <w:b/>
                <w:bCs/>
                <w:sz w:val="20"/>
                <w:szCs w:val="20"/>
                <w:lang w:eastAsia="en-AU"/>
              </w:rPr>
              <w:t xml:space="preserve"> </w:t>
            </w:r>
            <w:r w:rsidRPr="00076E12">
              <w:rPr>
                <w:rFonts w:ascii="Arial" w:eastAsia="Times New Roman" w:hAnsi="Arial" w:cs="Arial"/>
                <w:b/>
                <w:bCs/>
                <w:sz w:val="20"/>
                <w:szCs w:val="20"/>
                <w:lang w:eastAsia="en-AU"/>
              </w:rPr>
              <w:t>of wall</w:t>
            </w:r>
          </w:p>
        </w:tc>
        <w:tc>
          <w:tcPr>
            <w:tcW w:w="500" w:type="pct"/>
            <w:gridSpan w:val="3"/>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Primary</w:t>
            </w:r>
          </w:p>
        </w:tc>
        <w:tc>
          <w:tcPr>
            <w:tcW w:w="500" w:type="pct"/>
            <w:gridSpan w:val="3"/>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to street</w:t>
            </w: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Frontage Secondary to lane</w:t>
            </w:r>
          </w:p>
        </w:tc>
        <w:tc>
          <w:tcPr>
            <w:tcW w:w="500" w:type="pct"/>
            <w:vMerge w:val="restart"/>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Side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Non-built to boundary wall To OMP and wall</w:t>
            </w:r>
          </w:p>
        </w:tc>
        <w:tc>
          <w:tcPr>
            <w:tcW w:w="500" w:type="pct"/>
            <w:vMerge w:val="restar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500" w:type="pct"/>
            <w:vMerge w:val="restar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C904A8" w:rsidRPr="00076E12" w:rsidTr="009915AD">
        <w:trPr>
          <w:tblCellSpacing w:w="15" w:type="dxa"/>
        </w:trPr>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29"/>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29"/>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500" w:type="pc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r w:rsidRPr="00076E12">
              <w:rPr>
                <w:rFonts w:ascii="Arial" w:eastAsia="Times New Roman" w:hAnsi="Arial" w:cs="Arial"/>
                <w:sz w:val="20"/>
                <w:szCs w:val="20"/>
                <w:lang w:eastAsia="en-AU"/>
              </w:rPr>
              <w:t>,</w:t>
            </w:r>
            <w:r w:rsidRPr="00076E12">
              <w:rPr>
                <w:rFonts w:ascii="Arial" w:eastAsia="Times New Roman" w:hAnsi="Arial" w:cs="Arial"/>
                <w:b/>
                <w:bCs/>
                <w:sz w:val="20"/>
                <w:szCs w:val="20"/>
                <w:lang w:eastAsia="en-AU"/>
              </w:rPr>
              <w:t xml:space="preserve"> wall and covered car parking space</w:t>
            </w:r>
          </w:p>
        </w:tc>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r>
      <w:tr w:rsidR="00C904A8" w:rsidRPr="00076E12" w:rsidTr="009915AD">
        <w:trPr>
          <w:tblCellSpacing w:w="15" w:type="dxa"/>
        </w:trPr>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than4.5m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4.5m to 8.5m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6m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C904A8" w:rsidRPr="00076E12"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br/>
      </w:r>
    </w:p>
    <w:p w:rsidR="00C904A8" w:rsidRPr="00076E12" w:rsidRDefault="00C904A8" w:rsidP="00C904A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 </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328"/>
        <w:gridCol w:w="1464"/>
        <w:gridCol w:w="1464"/>
        <w:gridCol w:w="1464"/>
        <w:gridCol w:w="1464"/>
        <w:gridCol w:w="1464"/>
        <w:gridCol w:w="1465"/>
        <w:gridCol w:w="1465"/>
        <w:gridCol w:w="1465"/>
        <w:gridCol w:w="1465"/>
        <w:gridCol w:w="980"/>
      </w:tblGrid>
      <w:tr w:rsidR="00C904A8" w:rsidRPr="00076E12" w:rsidTr="009915AD">
        <w:trPr>
          <w:tblCellSpacing w:w="15" w:type="dxa"/>
        </w:trPr>
        <w:tc>
          <w:tcPr>
            <w:tcW w:w="0" w:type="auto"/>
            <w:gridSpan w:val="11"/>
            <w:shd w:val="clear" w:color="auto" w:fill="CCCCCC"/>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Table 9.3.1.6 Setbacks</w:t>
            </w:r>
          </w:p>
        </w:tc>
      </w:tr>
      <w:tr w:rsidR="00C904A8" w:rsidRPr="00076E12" w:rsidTr="009915AD">
        <w:trPr>
          <w:tblCellSpacing w:w="15" w:type="dxa"/>
        </w:trPr>
        <w:tc>
          <w:tcPr>
            <w:tcW w:w="0" w:type="auto"/>
            <w:gridSpan w:val="11"/>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 - Urban neighbourhood precinct, and Emerging community zone - Transition precinct (developed lot) and identified in the Morayfield South urban area on Figure 9.3.1.1</w:t>
            </w:r>
          </w:p>
        </w:tc>
      </w:tr>
      <w:tr w:rsidR="00C904A8" w:rsidRPr="00076E12" w:rsidTr="009915AD">
        <w:trPr>
          <w:tblCellSpacing w:w="15" w:type="dxa"/>
        </w:trPr>
        <w:tc>
          <w:tcPr>
            <w:tcW w:w="0" w:type="auto"/>
            <w:vMerge w:val="restar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Height</w:t>
            </w:r>
            <w:r>
              <w:rPr>
                <w:rFonts w:ascii="Arial" w:eastAsia="Times New Roman" w:hAnsi="Arial" w:cs="Arial"/>
                <w:b/>
                <w:bCs/>
                <w:sz w:val="20"/>
                <w:szCs w:val="20"/>
                <w:lang w:eastAsia="en-AU"/>
              </w:rPr>
              <w:t xml:space="preserve"> </w:t>
            </w:r>
            <w:r w:rsidRPr="00076E12">
              <w:rPr>
                <w:rFonts w:ascii="Arial" w:eastAsia="Times New Roman" w:hAnsi="Arial" w:cs="Arial"/>
                <w:b/>
                <w:bCs/>
                <w:sz w:val="20"/>
                <w:szCs w:val="20"/>
                <w:lang w:eastAsia="en-AU"/>
              </w:rPr>
              <w:t>of wall</w:t>
            </w:r>
          </w:p>
        </w:tc>
        <w:tc>
          <w:tcPr>
            <w:tcW w:w="0" w:type="auto"/>
            <w:gridSpan w:val="3"/>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Primary</w:t>
            </w:r>
          </w:p>
        </w:tc>
        <w:tc>
          <w:tcPr>
            <w:tcW w:w="0" w:type="auto"/>
            <w:gridSpan w:val="3"/>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to street</w:t>
            </w:r>
          </w:p>
        </w:tc>
        <w:tc>
          <w:tcPr>
            <w:tcW w:w="0" w:type="auto"/>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Frontage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Secondary to lane</w:t>
            </w:r>
          </w:p>
        </w:tc>
        <w:tc>
          <w:tcPr>
            <w:tcW w:w="0" w:type="auto"/>
            <w:vMerge w:val="restart"/>
            <w:shd w:val="clear" w:color="auto" w:fill="CCCCCC"/>
            <w:tcMar>
              <w:top w:w="30" w:type="dxa"/>
              <w:left w:w="30" w:type="dxa"/>
              <w:bottom w:w="30" w:type="dxa"/>
              <w:right w:w="30" w:type="dxa"/>
            </w:tcMar>
            <w:hideMark/>
          </w:tcPr>
          <w:p w:rsidR="00C904A8" w:rsidRDefault="00C904A8" w:rsidP="009915AD">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76E12">
              <w:rPr>
                <w:rFonts w:ascii="Arial" w:eastAsia="Times New Roman" w:hAnsi="Arial" w:cs="Arial"/>
                <w:b/>
                <w:bCs/>
                <w:sz w:val="20"/>
                <w:szCs w:val="20"/>
                <w:lang w:eastAsia="en-AU"/>
              </w:rPr>
              <w:t>Side</w:t>
            </w:r>
          </w:p>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Non-built to boundary wall To OMP and wall</w:t>
            </w:r>
          </w:p>
        </w:tc>
        <w:tc>
          <w:tcPr>
            <w:tcW w:w="0" w:type="auto"/>
            <w:vMerge w:val="restar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Rear To OMP and wall</w:t>
            </w:r>
          </w:p>
        </w:tc>
        <w:tc>
          <w:tcPr>
            <w:tcW w:w="0" w:type="auto"/>
            <w:vMerge w:val="restart"/>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Canal To OMP and wall</w:t>
            </w:r>
          </w:p>
        </w:tc>
      </w:tr>
      <w:tr w:rsidR="00C904A8" w:rsidRPr="00076E12" w:rsidTr="009915AD">
        <w:trPr>
          <w:tblCellSpacing w:w="15" w:type="dxa"/>
        </w:trPr>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44"/>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wall</w:t>
            </w: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covered car parking space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345"/>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Note - These requirements apply to all Class  10a buildings and structures as defined by the Building Code of Australian.</w:t>
                  </w:r>
                </w:p>
              </w:tc>
            </w:tr>
          </w:tbl>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shd w:val="clear" w:color="auto" w:fill="CCCCCC"/>
            <w:tcMar>
              <w:top w:w="30" w:type="dxa"/>
              <w:left w:w="30" w:type="dxa"/>
              <w:bottom w:w="30" w:type="dxa"/>
              <w:right w:w="30" w:type="dxa"/>
            </w:tcMar>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To OMP</w:t>
            </w:r>
            <w:r w:rsidRPr="00076E12">
              <w:rPr>
                <w:rFonts w:ascii="Arial" w:eastAsia="Times New Roman" w:hAnsi="Arial" w:cs="Arial"/>
                <w:sz w:val="20"/>
                <w:szCs w:val="20"/>
                <w:lang w:eastAsia="en-AU"/>
              </w:rPr>
              <w:t>,</w:t>
            </w:r>
            <w:r w:rsidRPr="00076E12">
              <w:rPr>
                <w:rFonts w:ascii="Arial" w:eastAsia="Times New Roman" w:hAnsi="Arial" w:cs="Arial"/>
                <w:b/>
                <w:bCs/>
                <w:sz w:val="20"/>
                <w:szCs w:val="20"/>
                <w:lang w:eastAsia="en-AU"/>
              </w:rPr>
              <w:t xml:space="preserve"> wall and covered car parking spaces</w:t>
            </w:r>
          </w:p>
        </w:tc>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tcMar>
              <w:top w:w="30" w:type="dxa"/>
              <w:left w:w="30" w:type="dxa"/>
              <w:bottom w:w="30" w:type="dxa"/>
              <w:right w:w="30" w:type="dxa"/>
            </w:tcMar>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r>
      <w:tr w:rsidR="00C904A8" w:rsidRPr="00076E12" w:rsidTr="009915AD">
        <w:trPr>
          <w:tblCellSpacing w:w="15" w:type="dxa"/>
        </w:trPr>
        <w:tc>
          <w:tcPr>
            <w:tcW w:w="4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Less than4.5m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5.4m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blCellSpacing w:w="15" w:type="dxa"/>
        </w:trPr>
        <w:tc>
          <w:tcPr>
            <w:tcW w:w="4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4.5 to 8.5m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r w:rsidR="00C904A8" w:rsidRPr="00076E12" w:rsidTr="009915AD">
        <w:trPr>
          <w:trHeight w:val="1200"/>
          <w:tblCellSpacing w:w="15" w:type="dxa"/>
        </w:trPr>
        <w:tc>
          <w:tcPr>
            <w:tcW w:w="4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8.5m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5m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3m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2m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1m</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N/A</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0.5</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As per QDC</w:t>
            </w:r>
          </w:p>
        </w:tc>
        <w:tc>
          <w:tcPr>
            <w:tcW w:w="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Min 4.5m</w:t>
            </w:r>
          </w:p>
        </w:tc>
      </w:tr>
    </w:tbl>
    <w:p w:rsidR="00C904A8"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p>
    <w:p w:rsidR="00C904A8" w:rsidRDefault="00C904A8" w:rsidP="00C904A8">
      <w:pPr>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br w:type="page"/>
      </w:r>
    </w:p>
    <w:p w:rsidR="00C904A8" w:rsidRPr="00076E12"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lastRenderedPageBreak/>
        <w:br/>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530"/>
        <w:gridCol w:w="2515"/>
        <w:gridCol w:w="4205"/>
        <w:gridCol w:w="4206"/>
        <w:gridCol w:w="2092"/>
      </w:tblGrid>
      <w:tr w:rsidR="00C904A8" w:rsidRPr="00076E12" w:rsidTr="009915AD">
        <w:trPr>
          <w:trHeight w:val="380"/>
          <w:tblCellSpacing w:w="15" w:type="dxa"/>
        </w:trPr>
        <w:tc>
          <w:tcPr>
            <w:tcW w:w="0" w:type="auto"/>
            <w:gridSpan w:val="5"/>
            <w:vMerge w:val="restart"/>
            <w:shd w:val="clear" w:color="auto" w:fill="CCCCCC"/>
            <w:vAlign w:val="center"/>
            <w:hideMark/>
          </w:tcPr>
          <w:p w:rsidR="00C904A8" w:rsidRPr="00076E12" w:rsidRDefault="00C904A8" w:rsidP="009915AD">
            <w:pPr>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Table 9.3.1.7 Built to boundary walls</w:t>
            </w:r>
          </w:p>
        </w:tc>
      </w:tr>
      <w:tr w:rsidR="00C904A8" w:rsidRPr="00076E12" w:rsidTr="009915AD">
        <w:trPr>
          <w:tblCellSpacing w:w="15" w:type="dxa"/>
        </w:trPr>
        <w:tc>
          <w:tcPr>
            <w:tcW w:w="950" w:type="pct"/>
            <w:vMerge w:val="restart"/>
            <w:shd w:val="clear" w:color="auto" w:fill="CCCCCC"/>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Lot frontage width</w:t>
            </w:r>
          </w:p>
        </w:tc>
        <w:tc>
          <w:tcPr>
            <w:tcW w:w="950" w:type="pct"/>
            <w:vMerge w:val="restart"/>
            <w:shd w:val="clear" w:color="auto" w:fill="CCCCCC"/>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Mandatory / Optional</w:t>
            </w:r>
          </w:p>
        </w:tc>
        <w:tc>
          <w:tcPr>
            <w:tcW w:w="0" w:type="auto"/>
            <w:gridSpan w:val="3"/>
            <w:shd w:val="clear" w:color="auto" w:fill="CCCCCC"/>
            <w:hideMark/>
          </w:tcPr>
          <w:p w:rsidR="00C904A8" w:rsidRPr="00076E12" w:rsidRDefault="00C904A8" w:rsidP="009915AD">
            <w:pPr>
              <w:spacing w:before="100" w:beforeAutospacing="1" w:after="100" w:afterAutospacing="1" w:line="240" w:lineRule="auto"/>
              <w:ind w:left="150" w:right="150"/>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t>Length and height of built to boundary wall</w:t>
            </w:r>
          </w:p>
        </w:tc>
      </w:tr>
      <w:tr w:rsidR="00C904A8" w:rsidRPr="00076E12" w:rsidTr="009915AD">
        <w:trPr>
          <w:trHeight w:val="3810"/>
          <w:tblCellSpacing w:w="15" w:type="dxa"/>
        </w:trPr>
        <w:tc>
          <w:tcPr>
            <w:tcW w:w="0" w:type="auto"/>
            <w:vMerge/>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0" w:type="auto"/>
            <w:vMerge/>
            <w:vAlign w:val="center"/>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p>
        </w:tc>
        <w:tc>
          <w:tcPr>
            <w:tcW w:w="1500" w:type="pct"/>
            <w:shd w:val="clear" w:color="auto" w:fill="CCCCCC"/>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w:t>
            </w:r>
          </w:p>
          <w:p w:rsidR="00C904A8" w:rsidRPr="00076E12" w:rsidRDefault="00C904A8" w:rsidP="00C904A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b/>
                <w:bCs/>
                <w:sz w:val="20"/>
                <w:szCs w:val="20"/>
                <w:lang w:eastAsia="en-AU"/>
              </w:rPr>
              <w:t>Coastal communities precinct</w:t>
            </w:r>
          </w:p>
          <w:p w:rsidR="00C904A8" w:rsidRPr="00076E12" w:rsidRDefault="00C904A8" w:rsidP="00C904A8">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b/>
                <w:bCs/>
                <w:sz w:val="20"/>
                <w:szCs w:val="20"/>
                <w:lang w:eastAsia="en-AU"/>
              </w:rPr>
              <w:t>Suburban neighbourhood precinct</w:t>
            </w:r>
          </w:p>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Redcliffe Kippa-Ring local plan:</w:t>
            </w:r>
          </w:p>
          <w:p w:rsidR="00C904A8" w:rsidRPr="00076E12" w:rsidRDefault="00C904A8" w:rsidP="00C904A8">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76E12">
              <w:rPr>
                <w:rFonts w:ascii="Arial" w:eastAsia="Times New Roman" w:hAnsi="Arial" w:cs="Arial"/>
                <w:b/>
                <w:bCs/>
                <w:sz w:val="20"/>
                <w:szCs w:val="20"/>
                <w:lang w:eastAsia="en-AU"/>
              </w:rPr>
              <w:t>Interim residential precinct</w:t>
            </w:r>
          </w:p>
        </w:tc>
        <w:tc>
          <w:tcPr>
            <w:tcW w:w="1500" w:type="pct"/>
            <w:shd w:val="clear" w:color="auto" w:fill="CCCCCC"/>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Emerging community zone:</w:t>
            </w:r>
          </w:p>
          <w:p w:rsidR="00C904A8" w:rsidRPr="00076E12" w:rsidRDefault="00C904A8" w:rsidP="00C904A8">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Transition precinct (Developed lot)</w:t>
            </w:r>
          </w:p>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w:t>
            </w:r>
          </w:p>
          <w:p w:rsidR="00C904A8" w:rsidRPr="00076E12" w:rsidRDefault="00C904A8" w:rsidP="00C904A8">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Next generation neighbourhood precinct</w:t>
            </w:r>
          </w:p>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Caboolture West local plan:</w:t>
            </w:r>
          </w:p>
          <w:p w:rsidR="00C904A8" w:rsidRPr="00076E12" w:rsidRDefault="00C904A8" w:rsidP="00C904A8">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Urban living precinct (Next generation sub-precinct)</w:t>
            </w:r>
          </w:p>
        </w:tc>
        <w:tc>
          <w:tcPr>
            <w:tcW w:w="1550" w:type="pct"/>
            <w:shd w:val="clear" w:color="auto" w:fill="CCCCCC"/>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Emerging community zone:</w:t>
            </w:r>
          </w:p>
          <w:p w:rsidR="00C904A8" w:rsidRPr="00076E12" w:rsidRDefault="00C904A8" w:rsidP="00C904A8">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Transition precinct (Developed lot) if within the Morayfield South urban area on Figure 9.3.1.1</w:t>
            </w:r>
          </w:p>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General residential zone:</w:t>
            </w:r>
          </w:p>
          <w:p w:rsidR="00C904A8" w:rsidRPr="00076E12" w:rsidRDefault="00C904A8" w:rsidP="00C904A8">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Urban neighbourhood precinct</w:t>
            </w:r>
          </w:p>
        </w:tc>
      </w:tr>
      <w:tr w:rsidR="00C904A8" w:rsidRPr="00076E12" w:rsidTr="009915AD">
        <w:trPr>
          <w:tblCellSpacing w:w="15" w:type="dxa"/>
        </w:trPr>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7.5m or less</w:t>
            </w:r>
          </w:p>
        </w:tc>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Mandatory - both sides unless a corner lot</w:t>
            </w:r>
          </w:p>
        </w:tc>
        <w:tc>
          <w:tcPr>
            <w:tcW w:w="1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80% of the length of the boundary</w:t>
            </w:r>
            <w:r w:rsidRPr="00076E12">
              <w:rPr>
                <w:rFonts w:ascii="Arial" w:eastAsia="Times New Roman" w:hAnsi="Arial" w:cs="Arial"/>
                <w:sz w:val="20"/>
                <w:szCs w:val="20"/>
                <w:lang w:eastAsia="en-AU"/>
              </w:rPr>
              <w:br/>
              <w:t xml:space="preserve">Max Height: 7.5m </w:t>
            </w:r>
          </w:p>
        </w:tc>
        <w:tc>
          <w:tcPr>
            <w:tcW w:w="15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80% of the length of the boundary</w:t>
            </w:r>
            <w:r w:rsidRPr="00076E12">
              <w:rPr>
                <w:rFonts w:ascii="Arial" w:eastAsia="Times New Roman" w:hAnsi="Arial" w:cs="Arial"/>
                <w:sz w:val="20"/>
                <w:szCs w:val="20"/>
                <w:lang w:eastAsia="en-AU"/>
              </w:rPr>
              <w:br/>
              <w:t xml:space="preserve">Max Height: 8.5m </w:t>
            </w:r>
          </w:p>
        </w:tc>
      </w:tr>
      <w:tr w:rsidR="00C904A8" w:rsidRPr="00076E12" w:rsidTr="009915AD">
        <w:trPr>
          <w:tblCellSpacing w:w="15" w:type="dxa"/>
        </w:trPr>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More than 7.5m to 12.5m</w:t>
            </w:r>
          </w:p>
        </w:tc>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Mandatory - one side</w:t>
            </w:r>
          </w:p>
        </w:tc>
        <w:tc>
          <w:tcPr>
            <w:tcW w:w="1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60% of the length of the boundary</w:t>
            </w:r>
            <w:r w:rsidRPr="00076E12">
              <w:rPr>
                <w:rFonts w:ascii="Arial" w:eastAsia="Times New Roman" w:hAnsi="Arial" w:cs="Arial"/>
                <w:sz w:val="20"/>
                <w:szCs w:val="20"/>
                <w:lang w:eastAsia="en-AU"/>
              </w:rPr>
              <w:br/>
              <w:t xml:space="preserve">Max Height: 7.5m </w:t>
            </w:r>
          </w:p>
        </w:tc>
        <w:tc>
          <w:tcPr>
            <w:tcW w:w="15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70% of the length of the boundary</w:t>
            </w:r>
            <w:r w:rsidRPr="00076E12">
              <w:rPr>
                <w:rFonts w:ascii="Arial" w:eastAsia="Times New Roman" w:hAnsi="Arial" w:cs="Arial"/>
                <w:sz w:val="20"/>
                <w:szCs w:val="20"/>
                <w:lang w:eastAsia="en-AU"/>
              </w:rPr>
              <w:br/>
              <w:t xml:space="preserve">Max Height: 10.5m </w:t>
            </w:r>
          </w:p>
        </w:tc>
      </w:tr>
      <w:tr w:rsidR="00C904A8" w:rsidRPr="00076E12" w:rsidTr="009915AD">
        <w:trPr>
          <w:trHeight w:val="1440"/>
          <w:tblCellSpacing w:w="15" w:type="dxa"/>
        </w:trPr>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More than 12.5m to 18m</w:t>
            </w:r>
          </w:p>
        </w:tc>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Optional:</w:t>
            </w:r>
          </w:p>
          <w:p w:rsidR="00C904A8" w:rsidRPr="00076E12" w:rsidRDefault="00C904A8" w:rsidP="00C90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on 1 boundary only;</w:t>
            </w:r>
          </w:p>
          <w:p w:rsidR="00C904A8" w:rsidRPr="00076E12" w:rsidRDefault="00C904A8" w:rsidP="00C904A8">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076E12">
              <w:rPr>
                <w:rFonts w:ascii="Arial" w:eastAsia="Times New Roman" w:hAnsi="Arial" w:cs="Arial"/>
                <w:sz w:val="20"/>
                <w:szCs w:val="20"/>
                <w:lang w:eastAsia="en-AU"/>
              </w:rPr>
              <w:t>where the built to boundary wall adjoins a lot with a frontage less than 18m.</w:t>
            </w:r>
          </w:p>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 - Otherwise</w:t>
            </w:r>
          </w:p>
        </w:tc>
        <w:tc>
          <w:tcPr>
            <w:tcW w:w="1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the lesser of 15m or 60% of the length of the boundary</w:t>
            </w:r>
            <w:r w:rsidRPr="00076E12">
              <w:rPr>
                <w:rFonts w:ascii="Arial" w:eastAsia="Times New Roman" w:hAnsi="Arial" w:cs="Arial"/>
                <w:sz w:val="20"/>
                <w:szCs w:val="20"/>
                <w:lang w:eastAsia="en-AU"/>
              </w:rPr>
              <w:br/>
              <w:t xml:space="preserve">Max Height: 7.5m </w:t>
            </w:r>
          </w:p>
        </w:tc>
        <w:tc>
          <w:tcPr>
            <w:tcW w:w="15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Max Length: the lesser of 15m or 60% of the length of the boundary</w:t>
            </w:r>
            <w:r w:rsidRPr="00076E12">
              <w:rPr>
                <w:rFonts w:ascii="Arial" w:eastAsia="Times New Roman" w:hAnsi="Arial" w:cs="Arial"/>
                <w:sz w:val="20"/>
                <w:szCs w:val="20"/>
                <w:lang w:eastAsia="en-AU"/>
              </w:rPr>
              <w:br/>
              <w:t xml:space="preserve">Max Height: 10.5m </w:t>
            </w:r>
          </w:p>
        </w:tc>
      </w:tr>
      <w:tr w:rsidR="00C904A8" w:rsidRPr="00076E12" w:rsidTr="009915AD">
        <w:trPr>
          <w:tblCellSpacing w:w="15" w:type="dxa"/>
        </w:trPr>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b/>
                <w:bCs/>
                <w:sz w:val="20"/>
                <w:szCs w:val="20"/>
                <w:lang w:eastAsia="en-AU"/>
              </w:rPr>
              <w:t>Greater than 18m</w:t>
            </w:r>
          </w:p>
        </w:tc>
        <w:tc>
          <w:tcPr>
            <w:tcW w:w="950" w:type="pct"/>
            <w:hideMark/>
          </w:tcPr>
          <w:p w:rsidR="00C904A8" w:rsidRPr="00076E12" w:rsidRDefault="00C904A8" w:rsidP="009915AD">
            <w:pPr>
              <w:spacing w:before="100" w:beforeAutospacing="1" w:after="100" w:afterAutospacing="1" w:line="240" w:lineRule="auto"/>
              <w:ind w:left="1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0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c>
          <w:tcPr>
            <w:tcW w:w="1550" w:type="pct"/>
            <w:hideMark/>
          </w:tcPr>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Not permitted*</w:t>
            </w:r>
          </w:p>
        </w:tc>
      </w:tr>
    </w:tbl>
    <w:p w:rsidR="00C904A8" w:rsidRPr="00076E12" w:rsidRDefault="00C904A8" w:rsidP="00C904A8">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518"/>
      </w:tblGrid>
      <w:tr w:rsidR="00C904A8" w:rsidRPr="00076E12" w:rsidTr="009915AD">
        <w:trPr>
          <w:tblCellSpacing w:w="15" w:type="dxa"/>
        </w:trPr>
        <w:tc>
          <w:tcPr>
            <w:tcW w:w="0" w:type="auto"/>
            <w:vAlign w:val="center"/>
            <w:hideMark/>
          </w:tcPr>
          <w:p w:rsidR="00C904A8" w:rsidRPr="00076E12" w:rsidRDefault="00C904A8" w:rsidP="009915AD">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Note -The above setbacks apply only to Class 1a and Class 10a buildings/structures.</w:t>
            </w:r>
          </w:p>
          <w:p w:rsidR="00C904A8" w:rsidRPr="00076E12" w:rsidRDefault="00C904A8" w:rsidP="009915AD">
            <w:pPr>
              <w:spacing w:before="100" w:beforeAutospacing="1" w:after="100" w:afterAutospacing="1" w:line="240" w:lineRule="auto"/>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Max Length includes the length of walls of any other buildings on the same boundary. e.g. detached garage, carport or shed. </w:t>
            </w:r>
          </w:p>
          <w:p w:rsidR="00C904A8" w:rsidRPr="00076E12" w:rsidRDefault="00C904A8" w:rsidP="009915AD">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For the maximum height of domestic outbuildings refer to the examples that achieve aspects of the performance outcomes for building height and domestic outbuildings. </w:t>
            </w:r>
          </w:p>
          <w:p w:rsidR="00C904A8" w:rsidRPr="00076E12" w:rsidRDefault="00C904A8" w:rsidP="009915AD">
            <w:pPr>
              <w:spacing w:before="100" w:beforeAutospacing="1" w:after="100" w:afterAutospacing="1" w:line="240" w:lineRule="auto"/>
              <w:ind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*Note - Built to boundary walls are not permitted, however, reduced side and rear boundary clearances may be permitted as prescribed (e.g. QDC).  </w:t>
            </w:r>
          </w:p>
        </w:tc>
      </w:tr>
    </w:tbl>
    <w:p w:rsidR="00C904A8" w:rsidRPr="00076E12" w:rsidRDefault="00C904A8" w:rsidP="00C904A8">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076E12">
        <w:rPr>
          <w:rFonts w:ascii="Arial" w:eastAsia="Times New Roman" w:hAnsi="Arial" w:cs="Arial"/>
          <w:sz w:val="20"/>
          <w:szCs w:val="20"/>
          <w:lang w:eastAsia="en-AU"/>
        </w:rPr>
        <w:t xml:space="preserve">  </w:t>
      </w:r>
    </w:p>
    <w:p w:rsidR="00C904A8" w:rsidRDefault="00C904A8" w:rsidP="00C904A8">
      <w:pPr>
        <w:shd w:val="clear" w:color="auto" w:fill="FFFFFF"/>
        <w:spacing w:before="100" w:beforeAutospacing="1" w:after="100" w:afterAutospacing="1"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C904A8" w:rsidRPr="00076E12" w:rsidRDefault="00C904A8" w:rsidP="00C904A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b/>
          <w:bCs/>
          <w:sz w:val="20"/>
          <w:szCs w:val="20"/>
          <w:lang w:eastAsia="en-AU"/>
        </w:rPr>
        <w:lastRenderedPageBreak/>
        <w:t>Figure 9.3.1.1 Morayfield South - Urban area</w:t>
      </w:r>
    </w:p>
    <w:p w:rsidR="00C904A8" w:rsidRPr="00076E12" w:rsidRDefault="00C904A8" w:rsidP="00C904A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076E12">
        <w:rPr>
          <w:rFonts w:ascii="Arial" w:eastAsia="Times New Roman" w:hAnsi="Arial" w:cs="Arial"/>
          <w:noProof/>
          <w:sz w:val="20"/>
          <w:szCs w:val="20"/>
          <w:lang w:eastAsia="en-AU"/>
        </w:rPr>
        <w:drawing>
          <wp:inline distT="0" distB="0" distL="0" distR="0" wp14:anchorId="627125E9" wp14:editId="29C83D34">
            <wp:extent cx="5401310" cy="4997450"/>
            <wp:effectExtent l="0" t="0" r="8890" b="0"/>
            <wp:docPr id="4" name="Picture 4"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ayfield South - Urban area"/>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401310" cy="4997450"/>
                    </a:xfrm>
                    <a:prstGeom prst="rect">
                      <a:avLst/>
                    </a:prstGeom>
                    <a:noFill/>
                    <a:ln>
                      <a:noFill/>
                    </a:ln>
                  </pic:spPr>
                </pic:pic>
              </a:graphicData>
            </a:graphic>
          </wp:inline>
        </w:drawing>
      </w:r>
    </w:p>
    <w:p w:rsidR="00C904A8" w:rsidRPr="00076E12" w:rsidRDefault="00C904A8" w:rsidP="00C904A8">
      <w:pPr>
        <w:spacing w:before="100" w:beforeAutospacing="1" w:after="100" w:afterAutospacing="1" w:line="240" w:lineRule="auto"/>
        <w:rPr>
          <w:rFonts w:ascii="Arial" w:hAnsi="Arial" w:cs="Arial"/>
          <w:sz w:val="20"/>
          <w:szCs w:val="20"/>
        </w:rPr>
      </w:pPr>
    </w:p>
    <w:p w:rsidR="00655977" w:rsidRPr="00F215B6" w:rsidRDefault="00655977" w:rsidP="00C904A8">
      <w:pPr>
        <w:spacing w:before="100" w:beforeAutospacing="1" w:after="100" w:afterAutospacing="1" w:line="240" w:lineRule="auto"/>
        <w:rPr>
          <w:rFonts w:ascii="Arial" w:hAnsi="Arial" w:cs="Arial"/>
          <w:sz w:val="20"/>
          <w:szCs w:val="20"/>
        </w:rPr>
      </w:pPr>
      <w:bookmarkStart w:id="0" w:name="_GoBack"/>
      <w:bookmarkEnd w:id="0"/>
    </w:p>
    <w:sectPr w:rsidR="00655977" w:rsidRPr="00F215B6" w:rsidSect="00A31CFF">
      <w:footerReference w:type="default" r:id="rId1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A6" w:rsidRDefault="003F77A6" w:rsidP="00F17269">
      <w:pPr>
        <w:spacing w:after="0" w:line="240" w:lineRule="auto"/>
      </w:pPr>
      <w:r>
        <w:separator/>
      </w:r>
    </w:p>
  </w:endnote>
  <w:endnote w:type="continuationSeparator" w:id="0">
    <w:p w:rsidR="003F77A6" w:rsidRDefault="003F77A6" w:rsidP="00F1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269" w:rsidRPr="007849E7" w:rsidRDefault="00F17269" w:rsidP="007849E7">
    <w:pPr>
      <w:pStyle w:val="Footer"/>
      <w:jc w:val="cen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Use code</w:t>
    </w:r>
    <w:r w:rsidRPr="002C7A6D">
      <w:rPr>
        <w:rFonts w:ascii="Arial" w:hAnsi="Arial" w:cs="Arial"/>
        <w:i/>
        <w:sz w:val="20"/>
        <w:szCs w:val="20"/>
      </w:rPr>
      <w:t xml:space="preserve"> - </w:t>
    </w:r>
    <w:r>
      <w:rPr>
        <w:rFonts w:ascii="Arial" w:hAnsi="Arial" w:cs="Arial"/>
        <w:i/>
        <w:sz w:val="20"/>
        <w:szCs w:val="20"/>
      </w:rPr>
      <w:t xml:space="preserve">Dwelling house code - </w:t>
    </w:r>
    <w:r w:rsidRPr="00F17269">
      <w:rPr>
        <w:rFonts w:ascii="Arial" w:hAnsi="Arial" w:cs="Arial"/>
        <w:i/>
        <w:sz w:val="20"/>
        <w:szCs w:val="20"/>
      </w:rPr>
      <w:t>Requirements for accepted development</w:t>
    </w:r>
    <w:r w:rsidRPr="002C7A6D">
      <w:rPr>
        <w:rFonts w:ascii="Arial" w:hAnsi="Arial" w:cs="Arial"/>
        <w:i/>
        <w:sz w:val="20"/>
        <w:szCs w:val="20"/>
      </w:rPr>
      <w:t xml:space="preserve"> - </w:t>
    </w:r>
    <w:r>
      <w:rPr>
        <w:rFonts w:ascii="Arial" w:hAnsi="Arial" w:cs="Arial"/>
        <w:i/>
        <w:sz w:val="20"/>
        <w:szCs w:val="20"/>
      </w:rPr>
      <w:t>3 July 2017</w:t>
    </w:r>
    <w:r w:rsidR="007849E7" w:rsidRPr="005A0BA0">
      <w:rPr>
        <w:rFonts w:ascii="Arial" w:hAnsi="Arial" w:cs="Arial"/>
        <w:i/>
        <w:sz w:val="20"/>
        <w:szCs w:val="20"/>
      </w:rPr>
      <w:tab/>
    </w:r>
    <w:r w:rsidR="007849E7" w:rsidRPr="005A0BA0">
      <w:rPr>
        <w:rFonts w:ascii="Arial" w:hAnsi="Arial" w:cs="Arial"/>
        <w:i/>
        <w:sz w:val="20"/>
        <w:szCs w:val="20"/>
      </w:rPr>
      <w:tab/>
    </w:r>
    <w:r w:rsidR="007849E7" w:rsidRPr="005A0BA0">
      <w:rPr>
        <w:rFonts w:ascii="Arial" w:hAnsi="Arial" w:cs="Arial"/>
        <w:i/>
        <w:sz w:val="20"/>
        <w:szCs w:val="20"/>
      </w:rPr>
      <w:tab/>
    </w:r>
    <w:r w:rsidR="007849E7"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007849E7" w:rsidRPr="005A0BA0">
          <w:rPr>
            <w:rFonts w:ascii="Arial" w:hAnsi="Arial" w:cs="Arial"/>
            <w:sz w:val="20"/>
            <w:szCs w:val="20"/>
          </w:rPr>
          <w:fldChar w:fldCharType="begin"/>
        </w:r>
        <w:r w:rsidR="007849E7" w:rsidRPr="005A0BA0">
          <w:rPr>
            <w:rFonts w:ascii="Arial" w:hAnsi="Arial" w:cs="Arial"/>
            <w:sz w:val="20"/>
            <w:szCs w:val="20"/>
          </w:rPr>
          <w:instrText xml:space="preserve"> PAGE   \* MERGEFORMAT </w:instrText>
        </w:r>
        <w:r w:rsidR="007849E7" w:rsidRPr="005A0BA0">
          <w:rPr>
            <w:rFonts w:ascii="Arial" w:hAnsi="Arial" w:cs="Arial"/>
            <w:sz w:val="20"/>
            <w:szCs w:val="20"/>
          </w:rPr>
          <w:fldChar w:fldCharType="separate"/>
        </w:r>
        <w:r w:rsidR="00C904A8">
          <w:rPr>
            <w:rFonts w:ascii="Arial" w:hAnsi="Arial" w:cs="Arial"/>
            <w:noProof/>
            <w:sz w:val="20"/>
            <w:szCs w:val="20"/>
          </w:rPr>
          <w:t>31</w:t>
        </w:r>
        <w:r w:rsidR="007849E7"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A6" w:rsidRDefault="003F77A6" w:rsidP="00F17269">
      <w:pPr>
        <w:spacing w:after="0" w:line="240" w:lineRule="auto"/>
      </w:pPr>
      <w:r>
        <w:separator/>
      </w:r>
    </w:p>
  </w:footnote>
  <w:footnote w:type="continuationSeparator" w:id="0">
    <w:p w:rsidR="003F77A6" w:rsidRDefault="003F77A6" w:rsidP="00F17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5BA"/>
    <w:multiLevelType w:val="multilevel"/>
    <w:tmpl w:val="7FBEFA5E"/>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0B1FB1"/>
    <w:multiLevelType w:val="multilevel"/>
    <w:tmpl w:val="1D5CB3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3A451FD"/>
    <w:multiLevelType w:val="multilevel"/>
    <w:tmpl w:val="1936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8E772D"/>
    <w:multiLevelType w:val="multilevel"/>
    <w:tmpl w:val="B762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95CC6"/>
    <w:multiLevelType w:val="multilevel"/>
    <w:tmpl w:val="9F16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D4F11"/>
    <w:multiLevelType w:val="multilevel"/>
    <w:tmpl w:val="3036039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7113C3E"/>
    <w:multiLevelType w:val="multilevel"/>
    <w:tmpl w:val="D24400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7353657"/>
    <w:multiLevelType w:val="multilevel"/>
    <w:tmpl w:val="D7ECF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783645A"/>
    <w:multiLevelType w:val="multilevel"/>
    <w:tmpl w:val="17440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0E60828"/>
    <w:multiLevelType w:val="multilevel"/>
    <w:tmpl w:val="0C0A5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39E41D3"/>
    <w:multiLevelType w:val="multilevel"/>
    <w:tmpl w:val="162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AD60F1"/>
    <w:multiLevelType w:val="multilevel"/>
    <w:tmpl w:val="A54A8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6CB11E0"/>
    <w:multiLevelType w:val="multilevel"/>
    <w:tmpl w:val="F926B5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1BDE405F"/>
    <w:multiLevelType w:val="multilevel"/>
    <w:tmpl w:val="66228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C134C98"/>
    <w:multiLevelType w:val="multilevel"/>
    <w:tmpl w:val="6D44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866D2C"/>
    <w:multiLevelType w:val="multilevel"/>
    <w:tmpl w:val="10AA99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D58646B"/>
    <w:multiLevelType w:val="multilevel"/>
    <w:tmpl w:val="6C988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8">
    <w:nsid w:val="22ED0B77"/>
    <w:multiLevelType w:val="multilevel"/>
    <w:tmpl w:val="1E4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353D63"/>
    <w:multiLevelType w:val="multilevel"/>
    <w:tmpl w:val="871EF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95C68FE"/>
    <w:multiLevelType w:val="multilevel"/>
    <w:tmpl w:val="38B02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E8C7885"/>
    <w:multiLevelType w:val="multilevel"/>
    <w:tmpl w:val="BC5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D2384C"/>
    <w:multiLevelType w:val="multilevel"/>
    <w:tmpl w:val="13B2D2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31F66D0F"/>
    <w:multiLevelType w:val="multilevel"/>
    <w:tmpl w:val="4CB0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953CDE"/>
    <w:multiLevelType w:val="multilevel"/>
    <w:tmpl w:val="C2C6C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9A07F03"/>
    <w:multiLevelType w:val="multilevel"/>
    <w:tmpl w:val="EE2A59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AF505F4"/>
    <w:multiLevelType w:val="multilevel"/>
    <w:tmpl w:val="2E26CC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49D36C86"/>
    <w:multiLevelType w:val="multilevel"/>
    <w:tmpl w:val="42400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9FF0BA2"/>
    <w:multiLevelType w:val="multilevel"/>
    <w:tmpl w:val="D348F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4A420FC5"/>
    <w:multiLevelType w:val="multilevel"/>
    <w:tmpl w:val="6922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E85F61"/>
    <w:multiLevelType w:val="multilevel"/>
    <w:tmpl w:val="A1582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4D0048DC"/>
    <w:multiLevelType w:val="multilevel"/>
    <w:tmpl w:val="B6EAD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F995826"/>
    <w:multiLevelType w:val="multilevel"/>
    <w:tmpl w:val="F9D4F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C71377"/>
    <w:multiLevelType w:val="multilevel"/>
    <w:tmpl w:val="BA422A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A8608B6"/>
    <w:multiLevelType w:val="multilevel"/>
    <w:tmpl w:val="A8B0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8972CC"/>
    <w:multiLevelType w:val="multilevel"/>
    <w:tmpl w:val="96722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3336E90"/>
    <w:multiLevelType w:val="multilevel"/>
    <w:tmpl w:val="9E3A8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492787D"/>
    <w:multiLevelType w:val="multilevel"/>
    <w:tmpl w:val="33826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5663F78"/>
    <w:multiLevelType w:val="multilevel"/>
    <w:tmpl w:val="4380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1E4264"/>
    <w:multiLevelType w:val="multilevel"/>
    <w:tmpl w:val="7BAC19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82525E5"/>
    <w:multiLevelType w:val="multilevel"/>
    <w:tmpl w:val="D242A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CD502D5"/>
    <w:multiLevelType w:val="multilevel"/>
    <w:tmpl w:val="9708A43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6CF415CD"/>
    <w:multiLevelType w:val="multilevel"/>
    <w:tmpl w:val="3DAA0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16A393A"/>
    <w:multiLevelType w:val="multilevel"/>
    <w:tmpl w:val="2F66C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32F2CBF"/>
    <w:multiLevelType w:val="multilevel"/>
    <w:tmpl w:val="AAC03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A9A31F2"/>
    <w:multiLevelType w:val="multilevel"/>
    <w:tmpl w:val="BAD0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37DEB"/>
    <w:multiLevelType w:val="multilevel"/>
    <w:tmpl w:val="E960B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3"/>
  </w:num>
  <w:num w:numId="2">
    <w:abstractNumId w:val="25"/>
  </w:num>
  <w:num w:numId="3">
    <w:abstractNumId w:val="20"/>
  </w:num>
  <w:num w:numId="4">
    <w:abstractNumId w:val="0"/>
  </w:num>
  <w:num w:numId="5">
    <w:abstractNumId w:val="21"/>
  </w:num>
  <w:num w:numId="6">
    <w:abstractNumId w:val="34"/>
  </w:num>
  <w:num w:numId="7">
    <w:abstractNumId w:val="29"/>
  </w:num>
  <w:num w:numId="8">
    <w:abstractNumId w:val="38"/>
  </w:num>
  <w:num w:numId="9">
    <w:abstractNumId w:val="45"/>
  </w:num>
  <w:num w:numId="10">
    <w:abstractNumId w:val="16"/>
  </w:num>
  <w:num w:numId="11">
    <w:abstractNumId w:val="8"/>
  </w:num>
  <w:num w:numId="12">
    <w:abstractNumId w:val="19"/>
  </w:num>
  <w:num w:numId="13">
    <w:abstractNumId w:val="13"/>
  </w:num>
  <w:num w:numId="14">
    <w:abstractNumId w:val="40"/>
  </w:num>
  <w:num w:numId="15">
    <w:abstractNumId w:val="11"/>
  </w:num>
  <w:num w:numId="16">
    <w:abstractNumId w:val="35"/>
  </w:num>
  <w:num w:numId="17">
    <w:abstractNumId w:val="15"/>
  </w:num>
  <w:num w:numId="18">
    <w:abstractNumId w:val="39"/>
  </w:num>
  <w:num w:numId="19">
    <w:abstractNumId w:val="46"/>
  </w:num>
  <w:num w:numId="20">
    <w:abstractNumId w:val="32"/>
  </w:num>
  <w:num w:numId="21">
    <w:abstractNumId w:val="1"/>
  </w:num>
  <w:num w:numId="22">
    <w:abstractNumId w:val="43"/>
  </w:num>
  <w:num w:numId="23">
    <w:abstractNumId w:val="28"/>
  </w:num>
  <w:num w:numId="24">
    <w:abstractNumId w:val="7"/>
  </w:num>
  <w:num w:numId="25">
    <w:abstractNumId w:val="24"/>
  </w:num>
  <w:num w:numId="26">
    <w:abstractNumId w:val="27"/>
  </w:num>
  <w:num w:numId="27">
    <w:abstractNumId w:val="36"/>
  </w:num>
  <w:num w:numId="28">
    <w:abstractNumId w:val="42"/>
  </w:num>
  <w:num w:numId="29">
    <w:abstractNumId w:val="30"/>
  </w:num>
  <w:num w:numId="30">
    <w:abstractNumId w:val="31"/>
  </w:num>
  <w:num w:numId="31">
    <w:abstractNumId w:val="37"/>
  </w:num>
  <w:num w:numId="32">
    <w:abstractNumId w:val="9"/>
  </w:num>
  <w:num w:numId="33">
    <w:abstractNumId w:val="44"/>
  </w:num>
  <w:num w:numId="34">
    <w:abstractNumId w:val="22"/>
  </w:num>
  <w:num w:numId="35">
    <w:abstractNumId w:val="26"/>
  </w:num>
  <w:num w:numId="36">
    <w:abstractNumId w:val="41"/>
  </w:num>
  <w:num w:numId="37">
    <w:abstractNumId w:val="5"/>
  </w:num>
  <w:num w:numId="38">
    <w:abstractNumId w:val="6"/>
  </w:num>
  <w:num w:numId="39">
    <w:abstractNumId w:val="17"/>
  </w:num>
  <w:num w:numId="40">
    <w:abstractNumId w:val="3"/>
  </w:num>
  <w:num w:numId="41">
    <w:abstractNumId w:val="23"/>
  </w:num>
  <w:num w:numId="42">
    <w:abstractNumId w:val="10"/>
  </w:num>
  <w:num w:numId="43">
    <w:abstractNumId w:val="4"/>
  </w:num>
  <w:num w:numId="44">
    <w:abstractNumId w:val="14"/>
  </w:num>
  <w:num w:numId="45">
    <w:abstractNumId w:val="18"/>
  </w:num>
  <w:num w:numId="46">
    <w:abstractNumId w:val="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FF"/>
    <w:rsid w:val="00116366"/>
    <w:rsid w:val="001B56F6"/>
    <w:rsid w:val="002E0286"/>
    <w:rsid w:val="003F77A6"/>
    <w:rsid w:val="00655977"/>
    <w:rsid w:val="006E671E"/>
    <w:rsid w:val="007849E7"/>
    <w:rsid w:val="00A31CFF"/>
    <w:rsid w:val="00AD5793"/>
    <w:rsid w:val="00AE5271"/>
    <w:rsid w:val="00B45D42"/>
    <w:rsid w:val="00C47DD9"/>
    <w:rsid w:val="00C904A8"/>
    <w:rsid w:val="00F17269"/>
    <w:rsid w:val="00F21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FA3118-45FC-4FEA-9914-251D009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1CF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31CF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31CF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31CF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31CF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31CF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CF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31CF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31CF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31CF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31CF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31CF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A31CFF"/>
    <w:rPr>
      <w:b/>
      <w:bCs/>
      <w:strike w:val="0"/>
      <w:dstrike w:val="0"/>
      <w:color w:val="0000FF"/>
      <w:u w:val="none"/>
      <w:effect w:val="none"/>
    </w:rPr>
  </w:style>
  <w:style w:type="character" w:styleId="FollowedHyperlink">
    <w:name w:val="FollowedHyperlink"/>
    <w:basedOn w:val="DefaultParagraphFont"/>
    <w:uiPriority w:val="99"/>
    <w:semiHidden/>
    <w:unhideWhenUsed/>
    <w:rsid w:val="00A31CFF"/>
    <w:rPr>
      <w:b/>
      <w:bCs/>
      <w:strike w:val="0"/>
      <w:dstrike w:val="0"/>
      <w:color w:val="800080"/>
      <w:u w:val="none"/>
      <w:effect w:val="none"/>
    </w:rPr>
  </w:style>
  <w:style w:type="character" w:styleId="Emphasis">
    <w:name w:val="Emphasis"/>
    <w:basedOn w:val="DefaultParagraphFont"/>
    <w:uiPriority w:val="20"/>
    <w:qFormat/>
    <w:rsid w:val="00A31CFF"/>
    <w:rPr>
      <w:i/>
      <w:iCs/>
    </w:rPr>
  </w:style>
  <w:style w:type="paragraph" w:styleId="NormalWeb">
    <w:name w:val="Normal (Web)"/>
    <w:basedOn w:val="Normal"/>
    <w:uiPriority w:val="99"/>
    <w:semiHidden/>
    <w:unhideWhenUsed/>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31CF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31CF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31CF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31CF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31CF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31CF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31CF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31CF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31CF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31CF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31CF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31CF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31CF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31CF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31CF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31CF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31CF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31CF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31CF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31CF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31CF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31CF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31CF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31CF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31CF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31CF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31CF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31CF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31CF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31CF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31CF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31CF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31CF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31CF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31CF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31CF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31CF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31CF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31CF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31CF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31CF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31CF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31CF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31CF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31CF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31CF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31CF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31CF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31CF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A31CF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31CF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31CF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31CF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31CF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31CF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31CF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31CF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31CF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31CF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31CF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31CF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31CF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31CF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31CF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31CF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31CF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31CF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31CF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31CF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31CF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31CF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31CF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31CF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31CF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31CF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31CF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31CF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31CF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31CF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31CF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31CF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31CF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31CF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31CF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31CF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31CF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31CF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31CF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31CF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31CF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31CF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31CF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31CF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31CF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31CF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31CF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31CF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31CF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31CF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31CF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31CF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31CF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31CFF"/>
    <w:rPr>
      <w:bdr w:val="single" w:sz="6" w:space="0" w:color="FFFFFF" w:frame="1"/>
    </w:rPr>
  </w:style>
  <w:style w:type="character" w:customStyle="1" w:styleId="pagingicon1">
    <w:name w:val="pagingicon1"/>
    <w:basedOn w:val="DefaultParagraphFont"/>
    <w:rsid w:val="00A31CFF"/>
  </w:style>
  <w:style w:type="character" w:customStyle="1" w:styleId="mapclearicon">
    <w:name w:val="mapclearicon"/>
    <w:basedOn w:val="DefaultParagraphFont"/>
    <w:rsid w:val="00A31CFF"/>
    <w:rPr>
      <w:sz w:val="24"/>
      <w:szCs w:val="24"/>
    </w:rPr>
  </w:style>
  <w:style w:type="character" w:customStyle="1" w:styleId="mapokicon">
    <w:name w:val="mapokicon"/>
    <w:basedOn w:val="DefaultParagraphFont"/>
    <w:rsid w:val="00A31CFF"/>
    <w:rPr>
      <w:sz w:val="24"/>
      <w:szCs w:val="24"/>
    </w:rPr>
  </w:style>
  <w:style w:type="character" w:customStyle="1" w:styleId="mapstepbackicon">
    <w:name w:val="mapstepbackicon"/>
    <w:basedOn w:val="DefaultParagraphFont"/>
    <w:rsid w:val="00A31CFF"/>
    <w:rPr>
      <w:sz w:val="24"/>
      <w:szCs w:val="24"/>
    </w:rPr>
  </w:style>
  <w:style w:type="character" w:customStyle="1" w:styleId="mapok">
    <w:name w:val="mapok"/>
    <w:basedOn w:val="DefaultParagraphFont"/>
    <w:rsid w:val="00A31CFF"/>
    <w:rPr>
      <w:sz w:val="24"/>
      <w:szCs w:val="24"/>
    </w:rPr>
  </w:style>
  <w:style w:type="character" w:customStyle="1" w:styleId="addnew">
    <w:name w:val="addnew"/>
    <w:basedOn w:val="DefaultParagraphFont"/>
    <w:rsid w:val="00A31CFF"/>
    <w:rPr>
      <w:sz w:val="24"/>
      <w:szCs w:val="24"/>
    </w:rPr>
  </w:style>
  <w:style w:type="character" w:customStyle="1" w:styleId="cancelbtn">
    <w:name w:val="cancelbtn"/>
    <w:basedOn w:val="DefaultParagraphFont"/>
    <w:rsid w:val="00A31CFF"/>
    <w:rPr>
      <w:sz w:val="24"/>
      <w:szCs w:val="24"/>
    </w:rPr>
  </w:style>
  <w:style w:type="character" w:customStyle="1" w:styleId="nexticon1">
    <w:name w:val="nexticon1"/>
    <w:basedOn w:val="DefaultParagraphFont"/>
    <w:rsid w:val="00A31CFF"/>
  </w:style>
  <w:style w:type="character" w:customStyle="1" w:styleId="previcon">
    <w:name w:val="previcon"/>
    <w:basedOn w:val="DefaultParagraphFont"/>
    <w:rsid w:val="00A31CFF"/>
  </w:style>
  <w:style w:type="character" w:customStyle="1" w:styleId="answer">
    <w:name w:val="answer"/>
    <w:basedOn w:val="DefaultParagraphFont"/>
    <w:rsid w:val="00A31CFF"/>
  </w:style>
  <w:style w:type="character" w:customStyle="1" w:styleId="featurename">
    <w:name w:val="featurename"/>
    <w:basedOn w:val="DefaultParagraphFont"/>
    <w:rsid w:val="00A31CFF"/>
  </w:style>
  <w:style w:type="character" w:customStyle="1" w:styleId="question1">
    <w:name w:val="question1"/>
    <w:basedOn w:val="DefaultParagraphFont"/>
    <w:rsid w:val="00A31CFF"/>
  </w:style>
  <w:style w:type="character" w:customStyle="1" w:styleId="delete">
    <w:name w:val="delete"/>
    <w:basedOn w:val="DefaultParagraphFont"/>
    <w:rsid w:val="00A31CFF"/>
  </w:style>
  <w:style w:type="paragraph" w:customStyle="1" w:styleId="firstnode1">
    <w:name w:val="firstnod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31CF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31CF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31CF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31CF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31CF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31CF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31CF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31CF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31CF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31CF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31CF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31CF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A31CF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31CF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31CF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31CF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31CF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31CF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31CF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31CF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31CF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31CF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31CF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31CF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31CF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31CF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31CF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31CF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31CF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31CF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31CF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31CF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31CF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31CF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31CF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31CF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A31CF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31CF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31CF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31CF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31CF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31CF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31CF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31CF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31CF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31CFF"/>
  </w:style>
  <w:style w:type="character" w:customStyle="1" w:styleId="previcon1">
    <w:name w:val="previcon1"/>
    <w:basedOn w:val="DefaultParagraphFont"/>
    <w:rsid w:val="00A31CFF"/>
  </w:style>
  <w:style w:type="paragraph" w:customStyle="1" w:styleId="eventnavtitle1">
    <w:name w:val="eventnavtitle1"/>
    <w:basedOn w:val="Normal"/>
    <w:rsid w:val="00A31CF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31CF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31CF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A31CF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31CF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31CF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31CF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31CF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31CF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31CF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31CF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31CF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31CFF"/>
    <w:rPr>
      <w:b/>
      <w:bCs/>
      <w:vanish w:val="0"/>
      <w:webHidden w:val="0"/>
      <w:specVanish w:val="0"/>
    </w:rPr>
  </w:style>
  <w:style w:type="paragraph" w:customStyle="1" w:styleId="questionbody1">
    <w:name w:val="questionbody1"/>
    <w:basedOn w:val="Normal"/>
    <w:rsid w:val="00A31CF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31CFF"/>
    <w:rPr>
      <w:vanish w:val="0"/>
      <w:webHidden w:val="0"/>
      <w:specVanish w:val="0"/>
    </w:rPr>
  </w:style>
  <w:style w:type="paragraph" w:customStyle="1" w:styleId="title10">
    <w:name w:val="title1"/>
    <w:basedOn w:val="Normal"/>
    <w:rsid w:val="00A31CF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31CF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31CF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31CF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31CF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31CF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31CF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31CF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31CF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31CF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31CF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31CF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31CF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31CF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31CF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A31CF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31CF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31CF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31CF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31CF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31CF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31CF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31CF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31CF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31CF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31CF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31CF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31CF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31CF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31CF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31CF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31CF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31CFF"/>
    <w:rPr>
      <w:vanish w:val="0"/>
      <w:webHidden w:val="0"/>
      <w:specVanish w:val="0"/>
    </w:rPr>
  </w:style>
  <w:style w:type="paragraph" w:customStyle="1" w:styleId="select1">
    <w:name w:val="select1"/>
    <w:basedOn w:val="Normal"/>
    <w:rsid w:val="00A31CF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31CFF"/>
    <w:rPr>
      <w:vanish w:val="0"/>
      <w:webHidden w:val="0"/>
      <w:specVanish w:val="0"/>
    </w:rPr>
  </w:style>
  <w:style w:type="paragraph" w:customStyle="1" w:styleId="back2">
    <w:name w:val="back2"/>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31CF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31CF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31CF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31CF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31CF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31CF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31CF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31CF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31CF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31CF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31CF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31CF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31C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31CFF"/>
    <w:rPr>
      <w:b/>
      <w:bCs/>
    </w:rPr>
  </w:style>
  <w:style w:type="character" w:customStyle="1" w:styleId="number">
    <w:name w:val="number"/>
    <w:basedOn w:val="DefaultParagraphFont"/>
    <w:rsid w:val="00A31CFF"/>
  </w:style>
  <w:style w:type="character" w:customStyle="1" w:styleId="newwindow">
    <w:name w:val="newwindow"/>
    <w:basedOn w:val="DefaultParagraphFont"/>
    <w:rsid w:val="00A31CFF"/>
  </w:style>
  <w:style w:type="paragraph" w:styleId="BalloonText">
    <w:name w:val="Balloon Text"/>
    <w:basedOn w:val="Normal"/>
    <w:link w:val="BalloonTextChar"/>
    <w:uiPriority w:val="99"/>
    <w:semiHidden/>
    <w:unhideWhenUsed/>
    <w:rsid w:val="00A31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CFF"/>
    <w:rPr>
      <w:rFonts w:ascii="Tahoma" w:hAnsi="Tahoma" w:cs="Tahoma"/>
      <w:sz w:val="16"/>
      <w:szCs w:val="16"/>
    </w:rPr>
  </w:style>
  <w:style w:type="paragraph" w:styleId="ListParagraph">
    <w:name w:val="List Paragraph"/>
    <w:basedOn w:val="Normal"/>
    <w:uiPriority w:val="34"/>
    <w:qFormat/>
    <w:rsid w:val="00A31CFF"/>
    <w:pPr>
      <w:ind w:left="720"/>
      <w:contextualSpacing/>
    </w:pPr>
  </w:style>
  <w:style w:type="paragraph" w:styleId="Header">
    <w:name w:val="header"/>
    <w:basedOn w:val="Normal"/>
    <w:link w:val="HeaderChar"/>
    <w:uiPriority w:val="99"/>
    <w:unhideWhenUsed/>
    <w:rsid w:val="00F17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269"/>
  </w:style>
  <w:style w:type="paragraph" w:styleId="Footer">
    <w:name w:val="footer"/>
    <w:basedOn w:val="Normal"/>
    <w:link w:val="FooterChar"/>
    <w:uiPriority w:val="99"/>
    <w:unhideWhenUsed/>
    <w:rsid w:val="00F17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5575">
      <w:bodyDiv w:val="1"/>
      <w:marLeft w:val="0"/>
      <w:marRight w:val="0"/>
      <w:marTop w:val="0"/>
      <w:marBottom w:val="0"/>
      <w:divBdr>
        <w:top w:val="none" w:sz="0" w:space="0" w:color="auto"/>
        <w:left w:val="none" w:sz="0" w:space="0" w:color="auto"/>
        <w:bottom w:val="none" w:sz="0" w:space="0" w:color="auto"/>
        <w:right w:val="none" w:sz="0" w:space="0" w:color="auto"/>
      </w:divBdr>
      <w:divsChild>
        <w:div w:id="1820263996">
          <w:marLeft w:val="0"/>
          <w:marRight w:val="0"/>
          <w:marTop w:val="0"/>
          <w:marBottom w:val="0"/>
          <w:divBdr>
            <w:top w:val="none" w:sz="0" w:space="0" w:color="auto"/>
            <w:left w:val="none" w:sz="0" w:space="0" w:color="auto"/>
            <w:bottom w:val="none" w:sz="0" w:space="0" w:color="auto"/>
            <w:right w:val="none" w:sz="0" w:space="0" w:color="auto"/>
          </w:divBdr>
          <w:divsChild>
            <w:div w:id="839589569">
              <w:marLeft w:val="0"/>
              <w:marRight w:val="0"/>
              <w:marTop w:val="150"/>
              <w:marBottom w:val="0"/>
              <w:divBdr>
                <w:top w:val="none" w:sz="0" w:space="0" w:color="auto"/>
                <w:left w:val="none" w:sz="0" w:space="0" w:color="auto"/>
                <w:bottom w:val="none" w:sz="0" w:space="0" w:color="auto"/>
                <w:right w:val="none" w:sz="0" w:space="0" w:color="auto"/>
              </w:divBdr>
              <w:divsChild>
                <w:div w:id="893925528">
                  <w:marLeft w:val="3300"/>
                  <w:marRight w:val="0"/>
                  <w:marTop w:val="0"/>
                  <w:marBottom w:val="0"/>
                  <w:divBdr>
                    <w:top w:val="none" w:sz="0" w:space="0" w:color="auto"/>
                    <w:left w:val="none" w:sz="0" w:space="0" w:color="auto"/>
                    <w:bottom w:val="none" w:sz="0" w:space="0" w:color="auto"/>
                    <w:right w:val="none" w:sz="0" w:space="0" w:color="auto"/>
                  </w:divBdr>
                  <w:divsChild>
                    <w:div w:id="518735535">
                      <w:marLeft w:val="0"/>
                      <w:marRight w:val="0"/>
                      <w:marTop w:val="0"/>
                      <w:marBottom w:val="0"/>
                      <w:divBdr>
                        <w:top w:val="single" w:sz="6" w:space="7" w:color="A8A8A8"/>
                        <w:left w:val="single" w:sz="2" w:space="14" w:color="A8A8A8"/>
                        <w:bottom w:val="single" w:sz="6" w:space="7" w:color="A8A8A8"/>
                        <w:right w:val="single" w:sz="2" w:space="14" w:color="A8A8A8"/>
                      </w:divBdr>
                      <w:divsChild>
                        <w:div w:id="1301957992">
                          <w:marLeft w:val="0"/>
                          <w:marRight w:val="0"/>
                          <w:marTop w:val="0"/>
                          <w:marBottom w:val="0"/>
                          <w:divBdr>
                            <w:top w:val="none" w:sz="0" w:space="0" w:color="auto"/>
                            <w:left w:val="none" w:sz="0" w:space="0" w:color="auto"/>
                            <w:bottom w:val="none" w:sz="0" w:space="0" w:color="auto"/>
                            <w:right w:val="none" w:sz="0" w:space="0" w:color="auto"/>
                          </w:divBdr>
                          <w:divsChild>
                            <w:div w:id="1020933369">
                              <w:marLeft w:val="0"/>
                              <w:marRight w:val="0"/>
                              <w:marTop w:val="0"/>
                              <w:marBottom w:val="0"/>
                              <w:divBdr>
                                <w:top w:val="none" w:sz="0" w:space="0" w:color="auto"/>
                                <w:left w:val="none" w:sz="0" w:space="0" w:color="auto"/>
                                <w:bottom w:val="none" w:sz="0" w:space="0" w:color="auto"/>
                                <w:right w:val="none" w:sz="0" w:space="0" w:color="auto"/>
                              </w:divBdr>
                              <w:divsChild>
                                <w:div w:id="1403528723">
                                  <w:marLeft w:val="0"/>
                                  <w:marRight w:val="0"/>
                                  <w:marTop w:val="0"/>
                                  <w:marBottom w:val="0"/>
                                  <w:divBdr>
                                    <w:top w:val="none" w:sz="0" w:space="0" w:color="auto"/>
                                    <w:left w:val="none" w:sz="0" w:space="0" w:color="auto"/>
                                    <w:bottom w:val="none" w:sz="0" w:space="0" w:color="auto"/>
                                    <w:right w:val="none" w:sz="0" w:space="0" w:color="auto"/>
                                  </w:divBdr>
                                  <w:divsChild>
                                    <w:div w:id="1888181337">
                                      <w:marLeft w:val="0"/>
                                      <w:marRight w:val="0"/>
                                      <w:marTop w:val="0"/>
                                      <w:marBottom w:val="0"/>
                                      <w:divBdr>
                                        <w:top w:val="none" w:sz="0" w:space="0" w:color="auto"/>
                                        <w:left w:val="none" w:sz="0" w:space="0" w:color="auto"/>
                                        <w:bottom w:val="none" w:sz="0" w:space="0" w:color="auto"/>
                                        <w:right w:val="none" w:sz="0" w:space="0" w:color="auto"/>
                                      </w:divBdr>
                                      <w:divsChild>
                                        <w:div w:id="1006783790">
                                          <w:marLeft w:val="0"/>
                                          <w:marRight w:val="0"/>
                                          <w:marTop w:val="0"/>
                                          <w:marBottom w:val="0"/>
                                          <w:divBdr>
                                            <w:top w:val="none" w:sz="0" w:space="0" w:color="auto"/>
                                            <w:left w:val="none" w:sz="0" w:space="0" w:color="auto"/>
                                            <w:bottom w:val="none" w:sz="0" w:space="0" w:color="auto"/>
                                            <w:right w:val="none" w:sz="0" w:space="0" w:color="auto"/>
                                          </w:divBdr>
                                          <w:divsChild>
                                            <w:div w:id="662203845">
                                              <w:marLeft w:val="0"/>
                                              <w:marRight w:val="0"/>
                                              <w:marTop w:val="0"/>
                                              <w:marBottom w:val="0"/>
                                              <w:divBdr>
                                                <w:top w:val="none" w:sz="0" w:space="0" w:color="auto"/>
                                                <w:left w:val="none" w:sz="0" w:space="0" w:color="auto"/>
                                                <w:bottom w:val="none" w:sz="0" w:space="0" w:color="auto"/>
                                                <w:right w:val="none" w:sz="0" w:space="0" w:color="auto"/>
                                              </w:divBdr>
                                              <w:divsChild>
                                                <w:div w:id="1273393645">
                                                  <w:marLeft w:val="0"/>
                                                  <w:marRight w:val="0"/>
                                                  <w:marTop w:val="0"/>
                                                  <w:marBottom w:val="0"/>
                                                  <w:divBdr>
                                                    <w:top w:val="none" w:sz="0" w:space="0" w:color="auto"/>
                                                    <w:left w:val="none" w:sz="0" w:space="0" w:color="auto"/>
                                                    <w:bottom w:val="none" w:sz="0" w:space="0" w:color="auto"/>
                                                    <w:right w:val="none" w:sz="0" w:space="0" w:color="auto"/>
                                                  </w:divBdr>
                                                  <w:divsChild>
                                                    <w:div w:id="1316030817">
                                                      <w:marLeft w:val="0"/>
                                                      <w:marRight w:val="0"/>
                                                      <w:marTop w:val="0"/>
                                                      <w:marBottom w:val="0"/>
                                                      <w:divBdr>
                                                        <w:top w:val="none" w:sz="0" w:space="0" w:color="auto"/>
                                                        <w:left w:val="none" w:sz="0" w:space="0" w:color="auto"/>
                                                        <w:bottom w:val="none" w:sz="0" w:space="0" w:color="auto"/>
                                                        <w:right w:val="none" w:sz="0" w:space="0" w:color="auto"/>
                                                      </w:divBdr>
                                                    </w:div>
                                                  </w:divsChild>
                                                </w:div>
                                                <w:div w:id="1965426781">
                                                  <w:marLeft w:val="0"/>
                                                  <w:marRight w:val="0"/>
                                                  <w:marTop w:val="0"/>
                                                  <w:marBottom w:val="0"/>
                                                  <w:divBdr>
                                                    <w:top w:val="none" w:sz="0" w:space="0" w:color="auto"/>
                                                    <w:left w:val="none" w:sz="0" w:space="0" w:color="auto"/>
                                                    <w:bottom w:val="none" w:sz="0" w:space="0" w:color="auto"/>
                                                    <w:right w:val="none" w:sz="0" w:space="0" w:color="auto"/>
                                                  </w:divBdr>
                                                  <w:divsChild>
                                                    <w:div w:id="1760637862">
                                                      <w:marLeft w:val="0"/>
                                                      <w:marRight w:val="0"/>
                                                      <w:marTop w:val="0"/>
                                                      <w:marBottom w:val="0"/>
                                                      <w:divBdr>
                                                        <w:top w:val="none" w:sz="0" w:space="0" w:color="auto"/>
                                                        <w:left w:val="none" w:sz="0" w:space="0" w:color="auto"/>
                                                        <w:bottom w:val="none" w:sz="0" w:space="0" w:color="auto"/>
                                                        <w:right w:val="none" w:sz="0" w:space="0" w:color="auto"/>
                                                      </w:divBdr>
                                                    </w:div>
                                                  </w:divsChild>
                                                </w:div>
                                                <w:div w:id="748620635">
                                                  <w:marLeft w:val="0"/>
                                                  <w:marRight w:val="0"/>
                                                  <w:marTop w:val="0"/>
                                                  <w:marBottom w:val="0"/>
                                                  <w:divBdr>
                                                    <w:top w:val="none" w:sz="0" w:space="0" w:color="auto"/>
                                                    <w:left w:val="none" w:sz="0" w:space="0" w:color="auto"/>
                                                    <w:bottom w:val="none" w:sz="0" w:space="0" w:color="auto"/>
                                                    <w:right w:val="none" w:sz="0" w:space="0" w:color="auto"/>
                                                  </w:divBdr>
                                                  <w:divsChild>
                                                    <w:div w:id="1951352591">
                                                      <w:marLeft w:val="0"/>
                                                      <w:marRight w:val="0"/>
                                                      <w:marTop w:val="0"/>
                                                      <w:marBottom w:val="0"/>
                                                      <w:divBdr>
                                                        <w:top w:val="none" w:sz="0" w:space="0" w:color="auto"/>
                                                        <w:left w:val="none" w:sz="0" w:space="0" w:color="auto"/>
                                                        <w:bottom w:val="none" w:sz="0" w:space="0" w:color="auto"/>
                                                        <w:right w:val="none" w:sz="0" w:space="0" w:color="auto"/>
                                                      </w:divBdr>
                                                    </w:div>
                                                  </w:divsChild>
                                                </w:div>
                                                <w:div w:id="1561400465">
                                                  <w:marLeft w:val="0"/>
                                                  <w:marRight w:val="0"/>
                                                  <w:marTop w:val="0"/>
                                                  <w:marBottom w:val="0"/>
                                                  <w:divBdr>
                                                    <w:top w:val="none" w:sz="0" w:space="0" w:color="auto"/>
                                                    <w:left w:val="none" w:sz="0" w:space="0" w:color="auto"/>
                                                    <w:bottom w:val="none" w:sz="0" w:space="0" w:color="auto"/>
                                                    <w:right w:val="none" w:sz="0" w:space="0" w:color="auto"/>
                                                  </w:divBdr>
                                                  <w:divsChild>
                                                    <w:div w:id="1819615106">
                                                      <w:marLeft w:val="0"/>
                                                      <w:marRight w:val="0"/>
                                                      <w:marTop w:val="0"/>
                                                      <w:marBottom w:val="0"/>
                                                      <w:divBdr>
                                                        <w:top w:val="none" w:sz="0" w:space="0" w:color="auto"/>
                                                        <w:left w:val="none" w:sz="0" w:space="0" w:color="auto"/>
                                                        <w:bottom w:val="none" w:sz="0" w:space="0" w:color="auto"/>
                                                        <w:right w:val="none" w:sz="0" w:space="0" w:color="auto"/>
                                                      </w:divBdr>
                                                    </w:div>
                                                  </w:divsChild>
                                                </w:div>
                                                <w:div w:id="934749598">
                                                  <w:marLeft w:val="0"/>
                                                  <w:marRight w:val="0"/>
                                                  <w:marTop w:val="0"/>
                                                  <w:marBottom w:val="0"/>
                                                  <w:divBdr>
                                                    <w:top w:val="none" w:sz="0" w:space="0" w:color="auto"/>
                                                    <w:left w:val="none" w:sz="0" w:space="0" w:color="auto"/>
                                                    <w:bottom w:val="none" w:sz="0" w:space="0" w:color="auto"/>
                                                    <w:right w:val="none" w:sz="0" w:space="0" w:color="auto"/>
                                                  </w:divBdr>
                                                  <w:divsChild>
                                                    <w:div w:id="1905792683">
                                                      <w:marLeft w:val="0"/>
                                                      <w:marRight w:val="0"/>
                                                      <w:marTop w:val="0"/>
                                                      <w:marBottom w:val="0"/>
                                                      <w:divBdr>
                                                        <w:top w:val="none" w:sz="0" w:space="0" w:color="auto"/>
                                                        <w:left w:val="none" w:sz="0" w:space="0" w:color="auto"/>
                                                        <w:bottom w:val="none" w:sz="0" w:space="0" w:color="auto"/>
                                                        <w:right w:val="none" w:sz="0" w:space="0" w:color="auto"/>
                                                      </w:divBdr>
                                                    </w:div>
                                                  </w:divsChild>
                                                </w:div>
                                                <w:div w:id="2052344840">
                                                  <w:marLeft w:val="0"/>
                                                  <w:marRight w:val="0"/>
                                                  <w:marTop w:val="0"/>
                                                  <w:marBottom w:val="0"/>
                                                  <w:divBdr>
                                                    <w:top w:val="none" w:sz="0" w:space="0" w:color="auto"/>
                                                    <w:left w:val="none" w:sz="0" w:space="0" w:color="auto"/>
                                                    <w:bottom w:val="none" w:sz="0" w:space="0" w:color="auto"/>
                                                    <w:right w:val="none" w:sz="0" w:space="0" w:color="auto"/>
                                                  </w:divBdr>
                                                  <w:divsChild>
                                                    <w:div w:id="1902596118">
                                                      <w:marLeft w:val="0"/>
                                                      <w:marRight w:val="0"/>
                                                      <w:marTop w:val="0"/>
                                                      <w:marBottom w:val="0"/>
                                                      <w:divBdr>
                                                        <w:top w:val="none" w:sz="0" w:space="0" w:color="auto"/>
                                                        <w:left w:val="none" w:sz="0" w:space="0" w:color="auto"/>
                                                        <w:bottom w:val="none" w:sz="0" w:space="0" w:color="auto"/>
                                                        <w:right w:val="none" w:sz="0" w:space="0" w:color="auto"/>
                                                      </w:divBdr>
                                                    </w:div>
                                                  </w:divsChild>
                                                </w:div>
                                                <w:div w:id="992561185">
                                                  <w:marLeft w:val="0"/>
                                                  <w:marRight w:val="0"/>
                                                  <w:marTop w:val="0"/>
                                                  <w:marBottom w:val="0"/>
                                                  <w:divBdr>
                                                    <w:top w:val="none" w:sz="0" w:space="0" w:color="auto"/>
                                                    <w:left w:val="none" w:sz="0" w:space="0" w:color="auto"/>
                                                    <w:bottom w:val="none" w:sz="0" w:space="0" w:color="auto"/>
                                                    <w:right w:val="none" w:sz="0" w:space="0" w:color="auto"/>
                                                  </w:divBdr>
                                                  <w:divsChild>
                                                    <w:div w:id="216406076">
                                                      <w:marLeft w:val="0"/>
                                                      <w:marRight w:val="0"/>
                                                      <w:marTop w:val="0"/>
                                                      <w:marBottom w:val="0"/>
                                                      <w:divBdr>
                                                        <w:top w:val="none" w:sz="0" w:space="0" w:color="auto"/>
                                                        <w:left w:val="none" w:sz="0" w:space="0" w:color="auto"/>
                                                        <w:bottom w:val="none" w:sz="0" w:space="0" w:color="auto"/>
                                                        <w:right w:val="none" w:sz="0" w:space="0" w:color="auto"/>
                                                      </w:divBdr>
                                                    </w:div>
                                                  </w:divsChild>
                                                </w:div>
                                                <w:div w:id="2143375595">
                                                  <w:marLeft w:val="0"/>
                                                  <w:marRight w:val="0"/>
                                                  <w:marTop w:val="0"/>
                                                  <w:marBottom w:val="0"/>
                                                  <w:divBdr>
                                                    <w:top w:val="none" w:sz="0" w:space="0" w:color="auto"/>
                                                    <w:left w:val="none" w:sz="0" w:space="0" w:color="auto"/>
                                                    <w:bottom w:val="none" w:sz="0" w:space="0" w:color="auto"/>
                                                    <w:right w:val="none" w:sz="0" w:space="0" w:color="auto"/>
                                                  </w:divBdr>
                                                  <w:divsChild>
                                                    <w:div w:id="440223902">
                                                      <w:marLeft w:val="0"/>
                                                      <w:marRight w:val="0"/>
                                                      <w:marTop w:val="0"/>
                                                      <w:marBottom w:val="0"/>
                                                      <w:divBdr>
                                                        <w:top w:val="none" w:sz="0" w:space="0" w:color="auto"/>
                                                        <w:left w:val="none" w:sz="0" w:space="0" w:color="auto"/>
                                                        <w:bottom w:val="none" w:sz="0" w:space="0" w:color="auto"/>
                                                        <w:right w:val="none" w:sz="0" w:space="0" w:color="auto"/>
                                                      </w:divBdr>
                                                    </w:div>
                                                  </w:divsChild>
                                                </w:div>
                                                <w:div w:id="273749771">
                                                  <w:marLeft w:val="0"/>
                                                  <w:marRight w:val="0"/>
                                                  <w:marTop w:val="0"/>
                                                  <w:marBottom w:val="0"/>
                                                  <w:divBdr>
                                                    <w:top w:val="none" w:sz="0" w:space="0" w:color="auto"/>
                                                    <w:left w:val="none" w:sz="0" w:space="0" w:color="auto"/>
                                                    <w:bottom w:val="none" w:sz="0" w:space="0" w:color="auto"/>
                                                    <w:right w:val="none" w:sz="0" w:space="0" w:color="auto"/>
                                                  </w:divBdr>
                                                  <w:divsChild>
                                                    <w:div w:id="1954484239">
                                                      <w:marLeft w:val="0"/>
                                                      <w:marRight w:val="0"/>
                                                      <w:marTop w:val="0"/>
                                                      <w:marBottom w:val="0"/>
                                                      <w:divBdr>
                                                        <w:top w:val="none" w:sz="0" w:space="0" w:color="auto"/>
                                                        <w:left w:val="none" w:sz="0" w:space="0" w:color="auto"/>
                                                        <w:bottom w:val="none" w:sz="0" w:space="0" w:color="auto"/>
                                                        <w:right w:val="none" w:sz="0" w:space="0" w:color="auto"/>
                                                      </w:divBdr>
                                                    </w:div>
                                                  </w:divsChild>
                                                </w:div>
                                                <w:div w:id="258686462">
                                                  <w:marLeft w:val="0"/>
                                                  <w:marRight w:val="0"/>
                                                  <w:marTop w:val="0"/>
                                                  <w:marBottom w:val="0"/>
                                                  <w:divBdr>
                                                    <w:top w:val="none" w:sz="0" w:space="0" w:color="auto"/>
                                                    <w:left w:val="none" w:sz="0" w:space="0" w:color="auto"/>
                                                    <w:bottom w:val="none" w:sz="0" w:space="0" w:color="auto"/>
                                                    <w:right w:val="none" w:sz="0" w:space="0" w:color="auto"/>
                                                  </w:divBdr>
                                                  <w:divsChild>
                                                    <w:div w:id="698044065">
                                                      <w:marLeft w:val="0"/>
                                                      <w:marRight w:val="0"/>
                                                      <w:marTop w:val="0"/>
                                                      <w:marBottom w:val="0"/>
                                                      <w:divBdr>
                                                        <w:top w:val="none" w:sz="0" w:space="0" w:color="auto"/>
                                                        <w:left w:val="none" w:sz="0" w:space="0" w:color="auto"/>
                                                        <w:bottom w:val="none" w:sz="0" w:space="0" w:color="auto"/>
                                                        <w:right w:val="none" w:sz="0" w:space="0" w:color="auto"/>
                                                      </w:divBdr>
                                                      <w:divsChild>
                                                        <w:div w:id="1666276730">
                                                          <w:marLeft w:val="0"/>
                                                          <w:marRight w:val="0"/>
                                                          <w:marTop w:val="0"/>
                                                          <w:marBottom w:val="0"/>
                                                          <w:divBdr>
                                                            <w:top w:val="none" w:sz="0" w:space="0" w:color="auto"/>
                                                            <w:left w:val="none" w:sz="0" w:space="0" w:color="auto"/>
                                                            <w:bottom w:val="none" w:sz="0" w:space="0" w:color="auto"/>
                                                            <w:right w:val="none" w:sz="0" w:space="0" w:color="auto"/>
                                                          </w:divBdr>
                                                          <w:divsChild>
                                                            <w:div w:id="1526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0275">
                                                  <w:marLeft w:val="0"/>
                                                  <w:marRight w:val="0"/>
                                                  <w:marTop w:val="0"/>
                                                  <w:marBottom w:val="0"/>
                                                  <w:divBdr>
                                                    <w:top w:val="none" w:sz="0" w:space="0" w:color="auto"/>
                                                    <w:left w:val="none" w:sz="0" w:space="0" w:color="auto"/>
                                                    <w:bottom w:val="none" w:sz="0" w:space="0" w:color="auto"/>
                                                    <w:right w:val="none" w:sz="0" w:space="0" w:color="auto"/>
                                                  </w:divBdr>
                                                  <w:divsChild>
                                                    <w:div w:id="320423993">
                                                      <w:marLeft w:val="0"/>
                                                      <w:marRight w:val="0"/>
                                                      <w:marTop w:val="0"/>
                                                      <w:marBottom w:val="0"/>
                                                      <w:divBdr>
                                                        <w:top w:val="none" w:sz="0" w:space="0" w:color="auto"/>
                                                        <w:left w:val="none" w:sz="0" w:space="0" w:color="auto"/>
                                                        <w:bottom w:val="none" w:sz="0" w:space="0" w:color="auto"/>
                                                        <w:right w:val="none" w:sz="0" w:space="0" w:color="auto"/>
                                                      </w:divBdr>
                                                    </w:div>
                                                  </w:divsChild>
                                                </w:div>
                                                <w:div w:id="2045129699">
                                                  <w:marLeft w:val="0"/>
                                                  <w:marRight w:val="0"/>
                                                  <w:marTop w:val="0"/>
                                                  <w:marBottom w:val="0"/>
                                                  <w:divBdr>
                                                    <w:top w:val="none" w:sz="0" w:space="0" w:color="auto"/>
                                                    <w:left w:val="none" w:sz="0" w:space="0" w:color="auto"/>
                                                    <w:bottom w:val="none" w:sz="0" w:space="0" w:color="auto"/>
                                                    <w:right w:val="none" w:sz="0" w:space="0" w:color="auto"/>
                                                  </w:divBdr>
                                                  <w:divsChild>
                                                    <w:div w:id="261961191">
                                                      <w:marLeft w:val="0"/>
                                                      <w:marRight w:val="0"/>
                                                      <w:marTop w:val="0"/>
                                                      <w:marBottom w:val="0"/>
                                                      <w:divBdr>
                                                        <w:top w:val="none" w:sz="0" w:space="0" w:color="auto"/>
                                                        <w:left w:val="none" w:sz="0" w:space="0" w:color="auto"/>
                                                        <w:bottom w:val="none" w:sz="0" w:space="0" w:color="auto"/>
                                                        <w:right w:val="none" w:sz="0" w:space="0" w:color="auto"/>
                                                      </w:divBdr>
                                                    </w:div>
                                                  </w:divsChild>
                                                </w:div>
                                                <w:div w:id="1063916734">
                                                  <w:marLeft w:val="0"/>
                                                  <w:marRight w:val="0"/>
                                                  <w:marTop w:val="0"/>
                                                  <w:marBottom w:val="0"/>
                                                  <w:divBdr>
                                                    <w:top w:val="none" w:sz="0" w:space="0" w:color="auto"/>
                                                    <w:left w:val="none" w:sz="0" w:space="0" w:color="auto"/>
                                                    <w:bottom w:val="none" w:sz="0" w:space="0" w:color="auto"/>
                                                    <w:right w:val="none" w:sz="0" w:space="0" w:color="auto"/>
                                                  </w:divBdr>
                                                  <w:divsChild>
                                                    <w:div w:id="185677179">
                                                      <w:marLeft w:val="0"/>
                                                      <w:marRight w:val="0"/>
                                                      <w:marTop w:val="0"/>
                                                      <w:marBottom w:val="0"/>
                                                      <w:divBdr>
                                                        <w:top w:val="none" w:sz="0" w:space="0" w:color="auto"/>
                                                        <w:left w:val="none" w:sz="0" w:space="0" w:color="auto"/>
                                                        <w:bottom w:val="none" w:sz="0" w:space="0" w:color="auto"/>
                                                        <w:right w:val="none" w:sz="0" w:space="0" w:color="auto"/>
                                                      </w:divBdr>
                                                    </w:div>
                                                  </w:divsChild>
                                                </w:div>
                                                <w:div w:id="1671324701">
                                                  <w:marLeft w:val="0"/>
                                                  <w:marRight w:val="0"/>
                                                  <w:marTop w:val="0"/>
                                                  <w:marBottom w:val="0"/>
                                                  <w:divBdr>
                                                    <w:top w:val="none" w:sz="0" w:space="0" w:color="auto"/>
                                                    <w:left w:val="none" w:sz="0" w:space="0" w:color="auto"/>
                                                    <w:bottom w:val="none" w:sz="0" w:space="0" w:color="auto"/>
                                                    <w:right w:val="none" w:sz="0" w:space="0" w:color="auto"/>
                                                  </w:divBdr>
                                                  <w:divsChild>
                                                    <w:div w:id="445082858">
                                                      <w:marLeft w:val="0"/>
                                                      <w:marRight w:val="0"/>
                                                      <w:marTop w:val="0"/>
                                                      <w:marBottom w:val="0"/>
                                                      <w:divBdr>
                                                        <w:top w:val="none" w:sz="0" w:space="0" w:color="auto"/>
                                                        <w:left w:val="none" w:sz="0" w:space="0" w:color="auto"/>
                                                        <w:bottom w:val="none" w:sz="0" w:space="0" w:color="auto"/>
                                                        <w:right w:val="none" w:sz="0" w:space="0" w:color="auto"/>
                                                      </w:divBdr>
                                                    </w:div>
                                                  </w:divsChild>
                                                </w:div>
                                                <w:div w:id="1991324950">
                                                  <w:marLeft w:val="0"/>
                                                  <w:marRight w:val="0"/>
                                                  <w:marTop w:val="0"/>
                                                  <w:marBottom w:val="0"/>
                                                  <w:divBdr>
                                                    <w:top w:val="none" w:sz="0" w:space="0" w:color="auto"/>
                                                    <w:left w:val="none" w:sz="0" w:space="0" w:color="auto"/>
                                                    <w:bottom w:val="none" w:sz="0" w:space="0" w:color="auto"/>
                                                    <w:right w:val="none" w:sz="0" w:space="0" w:color="auto"/>
                                                  </w:divBdr>
                                                  <w:divsChild>
                                                    <w:div w:id="528685975">
                                                      <w:marLeft w:val="0"/>
                                                      <w:marRight w:val="0"/>
                                                      <w:marTop w:val="0"/>
                                                      <w:marBottom w:val="0"/>
                                                      <w:divBdr>
                                                        <w:top w:val="none" w:sz="0" w:space="0" w:color="auto"/>
                                                        <w:left w:val="none" w:sz="0" w:space="0" w:color="auto"/>
                                                        <w:bottom w:val="none" w:sz="0" w:space="0" w:color="auto"/>
                                                        <w:right w:val="none" w:sz="0" w:space="0" w:color="auto"/>
                                                      </w:divBdr>
                                                    </w:div>
                                                  </w:divsChild>
                                                </w:div>
                                                <w:div w:id="548734754">
                                                  <w:marLeft w:val="0"/>
                                                  <w:marRight w:val="0"/>
                                                  <w:marTop w:val="0"/>
                                                  <w:marBottom w:val="0"/>
                                                  <w:divBdr>
                                                    <w:top w:val="none" w:sz="0" w:space="0" w:color="auto"/>
                                                    <w:left w:val="none" w:sz="0" w:space="0" w:color="auto"/>
                                                    <w:bottom w:val="none" w:sz="0" w:space="0" w:color="auto"/>
                                                    <w:right w:val="none" w:sz="0" w:space="0" w:color="auto"/>
                                                  </w:divBdr>
                                                  <w:divsChild>
                                                    <w:div w:id="1651984109">
                                                      <w:marLeft w:val="0"/>
                                                      <w:marRight w:val="0"/>
                                                      <w:marTop w:val="0"/>
                                                      <w:marBottom w:val="0"/>
                                                      <w:divBdr>
                                                        <w:top w:val="none" w:sz="0" w:space="0" w:color="auto"/>
                                                        <w:left w:val="none" w:sz="0" w:space="0" w:color="auto"/>
                                                        <w:bottom w:val="none" w:sz="0" w:space="0" w:color="auto"/>
                                                        <w:right w:val="none" w:sz="0" w:space="0" w:color="auto"/>
                                                      </w:divBdr>
                                                    </w:div>
                                                  </w:divsChild>
                                                </w:div>
                                                <w:div w:id="120463539">
                                                  <w:marLeft w:val="0"/>
                                                  <w:marRight w:val="0"/>
                                                  <w:marTop w:val="0"/>
                                                  <w:marBottom w:val="0"/>
                                                  <w:divBdr>
                                                    <w:top w:val="none" w:sz="0" w:space="0" w:color="auto"/>
                                                    <w:left w:val="none" w:sz="0" w:space="0" w:color="auto"/>
                                                    <w:bottom w:val="none" w:sz="0" w:space="0" w:color="auto"/>
                                                    <w:right w:val="none" w:sz="0" w:space="0" w:color="auto"/>
                                                  </w:divBdr>
                                                  <w:divsChild>
                                                    <w:div w:id="127744314">
                                                      <w:marLeft w:val="0"/>
                                                      <w:marRight w:val="0"/>
                                                      <w:marTop w:val="0"/>
                                                      <w:marBottom w:val="0"/>
                                                      <w:divBdr>
                                                        <w:top w:val="none" w:sz="0" w:space="0" w:color="auto"/>
                                                        <w:left w:val="none" w:sz="0" w:space="0" w:color="auto"/>
                                                        <w:bottom w:val="none" w:sz="0" w:space="0" w:color="auto"/>
                                                        <w:right w:val="none" w:sz="0" w:space="0" w:color="auto"/>
                                                      </w:divBdr>
                                                    </w:div>
                                                  </w:divsChild>
                                                </w:div>
                                                <w:div w:id="505095523">
                                                  <w:marLeft w:val="0"/>
                                                  <w:marRight w:val="0"/>
                                                  <w:marTop w:val="0"/>
                                                  <w:marBottom w:val="0"/>
                                                  <w:divBdr>
                                                    <w:top w:val="none" w:sz="0" w:space="0" w:color="auto"/>
                                                    <w:left w:val="none" w:sz="0" w:space="0" w:color="auto"/>
                                                    <w:bottom w:val="none" w:sz="0" w:space="0" w:color="auto"/>
                                                    <w:right w:val="none" w:sz="0" w:space="0" w:color="auto"/>
                                                  </w:divBdr>
                                                  <w:divsChild>
                                                    <w:div w:id="1859585272">
                                                      <w:marLeft w:val="0"/>
                                                      <w:marRight w:val="0"/>
                                                      <w:marTop w:val="0"/>
                                                      <w:marBottom w:val="0"/>
                                                      <w:divBdr>
                                                        <w:top w:val="none" w:sz="0" w:space="0" w:color="auto"/>
                                                        <w:left w:val="none" w:sz="0" w:space="0" w:color="auto"/>
                                                        <w:bottom w:val="none" w:sz="0" w:space="0" w:color="auto"/>
                                                        <w:right w:val="none" w:sz="0" w:space="0" w:color="auto"/>
                                                      </w:divBdr>
                                                    </w:div>
                                                  </w:divsChild>
                                                </w:div>
                                                <w:div w:id="1559239438">
                                                  <w:marLeft w:val="0"/>
                                                  <w:marRight w:val="0"/>
                                                  <w:marTop w:val="0"/>
                                                  <w:marBottom w:val="0"/>
                                                  <w:divBdr>
                                                    <w:top w:val="none" w:sz="0" w:space="0" w:color="auto"/>
                                                    <w:left w:val="none" w:sz="0" w:space="0" w:color="auto"/>
                                                    <w:bottom w:val="none" w:sz="0" w:space="0" w:color="auto"/>
                                                    <w:right w:val="none" w:sz="0" w:space="0" w:color="auto"/>
                                                  </w:divBdr>
                                                  <w:divsChild>
                                                    <w:div w:id="836534070">
                                                      <w:marLeft w:val="0"/>
                                                      <w:marRight w:val="0"/>
                                                      <w:marTop w:val="0"/>
                                                      <w:marBottom w:val="0"/>
                                                      <w:divBdr>
                                                        <w:top w:val="none" w:sz="0" w:space="0" w:color="auto"/>
                                                        <w:left w:val="none" w:sz="0" w:space="0" w:color="auto"/>
                                                        <w:bottom w:val="none" w:sz="0" w:space="0" w:color="auto"/>
                                                        <w:right w:val="none" w:sz="0" w:space="0" w:color="auto"/>
                                                      </w:divBdr>
                                                    </w:div>
                                                  </w:divsChild>
                                                </w:div>
                                                <w:div w:id="653879836">
                                                  <w:marLeft w:val="0"/>
                                                  <w:marRight w:val="0"/>
                                                  <w:marTop w:val="0"/>
                                                  <w:marBottom w:val="0"/>
                                                  <w:divBdr>
                                                    <w:top w:val="none" w:sz="0" w:space="0" w:color="auto"/>
                                                    <w:left w:val="none" w:sz="0" w:space="0" w:color="auto"/>
                                                    <w:bottom w:val="none" w:sz="0" w:space="0" w:color="auto"/>
                                                    <w:right w:val="none" w:sz="0" w:space="0" w:color="auto"/>
                                                  </w:divBdr>
                                                  <w:divsChild>
                                                    <w:div w:id="1496996291">
                                                      <w:marLeft w:val="0"/>
                                                      <w:marRight w:val="0"/>
                                                      <w:marTop w:val="0"/>
                                                      <w:marBottom w:val="0"/>
                                                      <w:divBdr>
                                                        <w:top w:val="none" w:sz="0" w:space="0" w:color="auto"/>
                                                        <w:left w:val="none" w:sz="0" w:space="0" w:color="auto"/>
                                                        <w:bottom w:val="none" w:sz="0" w:space="0" w:color="auto"/>
                                                        <w:right w:val="none" w:sz="0" w:space="0" w:color="auto"/>
                                                      </w:divBdr>
                                                    </w:div>
                                                  </w:divsChild>
                                                </w:div>
                                                <w:div w:id="878518575">
                                                  <w:marLeft w:val="0"/>
                                                  <w:marRight w:val="0"/>
                                                  <w:marTop w:val="0"/>
                                                  <w:marBottom w:val="0"/>
                                                  <w:divBdr>
                                                    <w:top w:val="none" w:sz="0" w:space="0" w:color="auto"/>
                                                    <w:left w:val="none" w:sz="0" w:space="0" w:color="auto"/>
                                                    <w:bottom w:val="none" w:sz="0" w:space="0" w:color="auto"/>
                                                    <w:right w:val="none" w:sz="0" w:space="0" w:color="auto"/>
                                                  </w:divBdr>
                                                  <w:divsChild>
                                                    <w:div w:id="1134443956">
                                                      <w:marLeft w:val="0"/>
                                                      <w:marRight w:val="0"/>
                                                      <w:marTop w:val="0"/>
                                                      <w:marBottom w:val="0"/>
                                                      <w:divBdr>
                                                        <w:top w:val="none" w:sz="0" w:space="0" w:color="auto"/>
                                                        <w:left w:val="none" w:sz="0" w:space="0" w:color="auto"/>
                                                        <w:bottom w:val="none" w:sz="0" w:space="0" w:color="auto"/>
                                                        <w:right w:val="none" w:sz="0" w:space="0" w:color="auto"/>
                                                      </w:divBdr>
                                                    </w:div>
                                                  </w:divsChild>
                                                </w:div>
                                                <w:div w:id="853348416">
                                                  <w:marLeft w:val="0"/>
                                                  <w:marRight w:val="0"/>
                                                  <w:marTop w:val="0"/>
                                                  <w:marBottom w:val="0"/>
                                                  <w:divBdr>
                                                    <w:top w:val="none" w:sz="0" w:space="0" w:color="auto"/>
                                                    <w:left w:val="none" w:sz="0" w:space="0" w:color="auto"/>
                                                    <w:bottom w:val="none" w:sz="0" w:space="0" w:color="auto"/>
                                                    <w:right w:val="none" w:sz="0" w:space="0" w:color="auto"/>
                                                  </w:divBdr>
                                                  <w:divsChild>
                                                    <w:div w:id="1959725531">
                                                      <w:marLeft w:val="0"/>
                                                      <w:marRight w:val="0"/>
                                                      <w:marTop w:val="45"/>
                                                      <w:marBottom w:val="45"/>
                                                      <w:divBdr>
                                                        <w:top w:val="none" w:sz="0" w:space="0" w:color="auto"/>
                                                        <w:left w:val="none" w:sz="0" w:space="0" w:color="auto"/>
                                                        <w:bottom w:val="none" w:sz="0" w:space="0" w:color="auto"/>
                                                        <w:right w:val="none" w:sz="0" w:space="0" w:color="auto"/>
                                                      </w:divBdr>
                                                    </w:div>
                                                  </w:divsChild>
                                                </w:div>
                                                <w:div w:id="1887913686">
                                                  <w:marLeft w:val="0"/>
                                                  <w:marRight w:val="0"/>
                                                  <w:marTop w:val="0"/>
                                                  <w:marBottom w:val="0"/>
                                                  <w:divBdr>
                                                    <w:top w:val="none" w:sz="0" w:space="0" w:color="auto"/>
                                                    <w:left w:val="none" w:sz="0" w:space="0" w:color="auto"/>
                                                    <w:bottom w:val="none" w:sz="0" w:space="0" w:color="auto"/>
                                                    <w:right w:val="none" w:sz="0" w:space="0" w:color="auto"/>
                                                  </w:divBdr>
                                                  <w:divsChild>
                                                    <w:div w:id="676731982">
                                                      <w:marLeft w:val="0"/>
                                                      <w:marRight w:val="0"/>
                                                      <w:marTop w:val="0"/>
                                                      <w:marBottom w:val="0"/>
                                                      <w:divBdr>
                                                        <w:top w:val="none" w:sz="0" w:space="0" w:color="auto"/>
                                                        <w:left w:val="none" w:sz="0" w:space="0" w:color="auto"/>
                                                        <w:bottom w:val="none" w:sz="0" w:space="0" w:color="auto"/>
                                                        <w:right w:val="none" w:sz="0" w:space="0" w:color="auto"/>
                                                      </w:divBdr>
                                                    </w:div>
                                                  </w:divsChild>
                                                </w:div>
                                                <w:div w:id="1043017384">
                                                  <w:marLeft w:val="0"/>
                                                  <w:marRight w:val="0"/>
                                                  <w:marTop w:val="0"/>
                                                  <w:marBottom w:val="0"/>
                                                  <w:divBdr>
                                                    <w:top w:val="none" w:sz="0" w:space="0" w:color="auto"/>
                                                    <w:left w:val="none" w:sz="0" w:space="0" w:color="auto"/>
                                                    <w:bottom w:val="none" w:sz="0" w:space="0" w:color="auto"/>
                                                    <w:right w:val="none" w:sz="0" w:space="0" w:color="auto"/>
                                                  </w:divBdr>
                                                  <w:divsChild>
                                                    <w:div w:id="2020623343">
                                                      <w:marLeft w:val="0"/>
                                                      <w:marRight w:val="0"/>
                                                      <w:marTop w:val="0"/>
                                                      <w:marBottom w:val="0"/>
                                                      <w:divBdr>
                                                        <w:top w:val="none" w:sz="0" w:space="0" w:color="auto"/>
                                                        <w:left w:val="none" w:sz="0" w:space="0" w:color="auto"/>
                                                        <w:bottom w:val="none" w:sz="0" w:space="0" w:color="auto"/>
                                                        <w:right w:val="none" w:sz="0" w:space="0" w:color="auto"/>
                                                      </w:divBdr>
                                                    </w:div>
                                                  </w:divsChild>
                                                </w:div>
                                                <w:div w:id="1496873783">
                                                  <w:marLeft w:val="0"/>
                                                  <w:marRight w:val="0"/>
                                                  <w:marTop w:val="0"/>
                                                  <w:marBottom w:val="0"/>
                                                  <w:divBdr>
                                                    <w:top w:val="none" w:sz="0" w:space="0" w:color="auto"/>
                                                    <w:left w:val="none" w:sz="0" w:space="0" w:color="auto"/>
                                                    <w:bottom w:val="none" w:sz="0" w:space="0" w:color="auto"/>
                                                    <w:right w:val="none" w:sz="0" w:space="0" w:color="auto"/>
                                                  </w:divBdr>
                                                  <w:divsChild>
                                                    <w:div w:id="956715626">
                                                      <w:marLeft w:val="0"/>
                                                      <w:marRight w:val="0"/>
                                                      <w:marTop w:val="0"/>
                                                      <w:marBottom w:val="0"/>
                                                      <w:divBdr>
                                                        <w:top w:val="none" w:sz="0" w:space="0" w:color="auto"/>
                                                        <w:left w:val="none" w:sz="0" w:space="0" w:color="auto"/>
                                                        <w:bottom w:val="none" w:sz="0" w:space="0" w:color="auto"/>
                                                        <w:right w:val="none" w:sz="0" w:space="0" w:color="auto"/>
                                                      </w:divBdr>
                                                    </w:div>
                                                  </w:divsChild>
                                                </w:div>
                                                <w:div w:id="180245147">
                                                  <w:marLeft w:val="0"/>
                                                  <w:marRight w:val="0"/>
                                                  <w:marTop w:val="0"/>
                                                  <w:marBottom w:val="0"/>
                                                  <w:divBdr>
                                                    <w:top w:val="none" w:sz="0" w:space="0" w:color="auto"/>
                                                    <w:left w:val="none" w:sz="0" w:space="0" w:color="auto"/>
                                                    <w:bottom w:val="none" w:sz="0" w:space="0" w:color="auto"/>
                                                    <w:right w:val="none" w:sz="0" w:space="0" w:color="auto"/>
                                                  </w:divBdr>
                                                  <w:divsChild>
                                                    <w:div w:id="1075056344">
                                                      <w:marLeft w:val="0"/>
                                                      <w:marRight w:val="0"/>
                                                      <w:marTop w:val="0"/>
                                                      <w:marBottom w:val="0"/>
                                                      <w:divBdr>
                                                        <w:top w:val="none" w:sz="0" w:space="0" w:color="auto"/>
                                                        <w:left w:val="none" w:sz="0" w:space="0" w:color="auto"/>
                                                        <w:bottom w:val="none" w:sz="0" w:space="0" w:color="auto"/>
                                                        <w:right w:val="none" w:sz="0" w:space="0" w:color="auto"/>
                                                      </w:divBdr>
                                                    </w:div>
                                                  </w:divsChild>
                                                </w:div>
                                                <w:div w:id="1199660657">
                                                  <w:marLeft w:val="0"/>
                                                  <w:marRight w:val="0"/>
                                                  <w:marTop w:val="0"/>
                                                  <w:marBottom w:val="0"/>
                                                  <w:divBdr>
                                                    <w:top w:val="none" w:sz="0" w:space="0" w:color="auto"/>
                                                    <w:left w:val="none" w:sz="0" w:space="0" w:color="auto"/>
                                                    <w:bottom w:val="none" w:sz="0" w:space="0" w:color="auto"/>
                                                    <w:right w:val="none" w:sz="0" w:space="0" w:color="auto"/>
                                                  </w:divBdr>
                                                  <w:divsChild>
                                                    <w:div w:id="1288975135">
                                                      <w:marLeft w:val="0"/>
                                                      <w:marRight w:val="0"/>
                                                      <w:marTop w:val="0"/>
                                                      <w:marBottom w:val="0"/>
                                                      <w:divBdr>
                                                        <w:top w:val="none" w:sz="0" w:space="0" w:color="auto"/>
                                                        <w:left w:val="none" w:sz="0" w:space="0" w:color="auto"/>
                                                        <w:bottom w:val="none" w:sz="0" w:space="0" w:color="auto"/>
                                                        <w:right w:val="none" w:sz="0" w:space="0" w:color="auto"/>
                                                      </w:divBdr>
                                                    </w:div>
                                                  </w:divsChild>
                                                </w:div>
                                                <w:div w:id="99298977">
                                                  <w:marLeft w:val="0"/>
                                                  <w:marRight w:val="0"/>
                                                  <w:marTop w:val="0"/>
                                                  <w:marBottom w:val="0"/>
                                                  <w:divBdr>
                                                    <w:top w:val="none" w:sz="0" w:space="0" w:color="auto"/>
                                                    <w:left w:val="none" w:sz="0" w:space="0" w:color="auto"/>
                                                    <w:bottom w:val="none" w:sz="0" w:space="0" w:color="auto"/>
                                                    <w:right w:val="none" w:sz="0" w:space="0" w:color="auto"/>
                                                  </w:divBdr>
                                                  <w:divsChild>
                                                    <w:div w:id="1478107218">
                                                      <w:marLeft w:val="0"/>
                                                      <w:marRight w:val="0"/>
                                                      <w:marTop w:val="0"/>
                                                      <w:marBottom w:val="0"/>
                                                      <w:divBdr>
                                                        <w:top w:val="none" w:sz="0" w:space="0" w:color="auto"/>
                                                        <w:left w:val="none" w:sz="0" w:space="0" w:color="auto"/>
                                                        <w:bottom w:val="none" w:sz="0" w:space="0" w:color="auto"/>
                                                        <w:right w:val="none" w:sz="0" w:space="0" w:color="auto"/>
                                                      </w:divBdr>
                                                    </w:div>
                                                  </w:divsChild>
                                                </w:div>
                                                <w:div w:id="1132942297">
                                                  <w:marLeft w:val="0"/>
                                                  <w:marRight w:val="0"/>
                                                  <w:marTop w:val="0"/>
                                                  <w:marBottom w:val="0"/>
                                                  <w:divBdr>
                                                    <w:top w:val="none" w:sz="0" w:space="0" w:color="auto"/>
                                                    <w:left w:val="none" w:sz="0" w:space="0" w:color="auto"/>
                                                    <w:bottom w:val="none" w:sz="0" w:space="0" w:color="auto"/>
                                                    <w:right w:val="none" w:sz="0" w:space="0" w:color="auto"/>
                                                  </w:divBdr>
                                                  <w:divsChild>
                                                    <w:div w:id="328216381">
                                                      <w:marLeft w:val="0"/>
                                                      <w:marRight w:val="0"/>
                                                      <w:marTop w:val="0"/>
                                                      <w:marBottom w:val="0"/>
                                                      <w:divBdr>
                                                        <w:top w:val="none" w:sz="0" w:space="0" w:color="auto"/>
                                                        <w:left w:val="none" w:sz="0" w:space="0" w:color="auto"/>
                                                        <w:bottom w:val="none" w:sz="0" w:space="0" w:color="auto"/>
                                                        <w:right w:val="none" w:sz="0" w:space="0" w:color="auto"/>
                                                      </w:divBdr>
                                                    </w:div>
                                                  </w:divsChild>
                                                </w:div>
                                                <w:div w:id="1439448613">
                                                  <w:marLeft w:val="0"/>
                                                  <w:marRight w:val="0"/>
                                                  <w:marTop w:val="0"/>
                                                  <w:marBottom w:val="0"/>
                                                  <w:divBdr>
                                                    <w:top w:val="none" w:sz="0" w:space="0" w:color="auto"/>
                                                    <w:left w:val="none" w:sz="0" w:space="0" w:color="auto"/>
                                                    <w:bottom w:val="none" w:sz="0" w:space="0" w:color="auto"/>
                                                    <w:right w:val="none" w:sz="0" w:space="0" w:color="auto"/>
                                                  </w:divBdr>
                                                  <w:divsChild>
                                                    <w:div w:id="1027413699">
                                                      <w:marLeft w:val="0"/>
                                                      <w:marRight w:val="0"/>
                                                      <w:marTop w:val="0"/>
                                                      <w:marBottom w:val="0"/>
                                                      <w:divBdr>
                                                        <w:top w:val="none" w:sz="0" w:space="0" w:color="auto"/>
                                                        <w:left w:val="none" w:sz="0" w:space="0" w:color="auto"/>
                                                        <w:bottom w:val="none" w:sz="0" w:space="0" w:color="auto"/>
                                                        <w:right w:val="none" w:sz="0" w:space="0" w:color="auto"/>
                                                      </w:divBdr>
                                                    </w:div>
                                                  </w:divsChild>
                                                </w:div>
                                                <w:div w:id="1756704904">
                                                  <w:marLeft w:val="0"/>
                                                  <w:marRight w:val="0"/>
                                                  <w:marTop w:val="0"/>
                                                  <w:marBottom w:val="0"/>
                                                  <w:divBdr>
                                                    <w:top w:val="none" w:sz="0" w:space="0" w:color="auto"/>
                                                    <w:left w:val="none" w:sz="0" w:space="0" w:color="auto"/>
                                                    <w:bottom w:val="none" w:sz="0" w:space="0" w:color="auto"/>
                                                    <w:right w:val="none" w:sz="0" w:space="0" w:color="auto"/>
                                                  </w:divBdr>
                                                  <w:divsChild>
                                                    <w:div w:id="1488328728">
                                                      <w:marLeft w:val="0"/>
                                                      <w:marRight w:val="0"/>
                                                      <w:marTop w:val="0"/>
                                                      <w:marBottom w:val="0"/>
                                                      <w:divBdr>
                                                        <w:top w:val="none" w:sz="0" w:space="0" w:color="auto"/>
                                                        <w:left w:val="none" w:sz="0" w:space="0" w:color="auto"/>
                                                        <w:bottom w:val="none" w:sz="0" w:space="0" w:color="auto"/>
                                                        <w:right w:val="none" w:sz="0" w:space="0" w:color="auto"/>
                                                      </w:divBdr>
                                                    </w:div>
                                                  </w:divsChild>
                                                </w:div>
                                                <w:div w:id="21634977">
                                                  <w:marLeft w:val="0"/>
                                                  <w:marRight w:val="0"/>
                                                  <w:marTop w:val="0"/>
                                                  <w:marBottom w:val="0"/>
                                                  <w:divBdr>
                                                    <w:top w:val="none" w:sz="0" w:space="0" w:color="auto"/>
                                                    <w:left w:val="none" w:sz="0" w:space="0" w:color="auto"/>
                                                    <w:bottom w:val="none" w:sz="0" w:space="0" w:color="auto"/>
                                                    <w:right w:val="none" w:sz="0" w:space="0" w:color="auto"/>
                                                  </w:divBdr>
                                                  <w:divsChild>
                                                    <w:div w:id="377357429">
                                                      <w:marLeft w:val="0"/>
                                                      <w:marRight w:val="0"/>
                                                      <w:marTop w:val="0"/>
                                                      <w:marBottom w:val="0"/>
                                                      <w:divBdr>
                                                        <w:top w:val="none" w:sz="0" w:space="0" w:color="auto"/>
                                                        <w:left w:val="none" w:sz="0" w:space="0" w:color="auto"/>
                                                        <w:bottom w:val="none" w:sz="0" w:space="0" w:color="auto"/>
                                                        <w:right w:val="none" w:sz="0" w:space="0" w:color="auto"/>
                                                      </w:divBdr>
                                                    </w:div>
                                                  </w:divsChild>
                                                </w:div>
                                                <w:div w:id="1170558018">
                                                  <w:marLeft w:val="0"/>
                                                  <w:marRight w:val="0"/>
                                                  <w:marTop w:val="0"/>
                                                  <w:marBottom w:val="0"/>
                                                  <w:divBdr>
                                                    <w:top w:val="none" w:sz="0" w:space="0" w:color="auto"/>
                                                    <w:left w:val="none" w:sz="0" w:space="0" w:color="auto"/>
                                                    <w:bottom w:val="none" w:sz="0" w:space="0" w:color="auto"/>
                                                    <w:right w:val="none" w:sz="0" w:space="0" w:color="auto"/>
                                                  </w:divBdr>
                                                  <w:divsChild>
                                                    <w:div w:id="166986323">
                                                      <w:marLeft w:val="0"/>
                                                      <w:marRight w:val="0"/>
                                                      <w:marTop w:val="0"/>
                                                      <w:marBottom w:val="0"/>
                                                      <w:divBdr>
                                                        <w:top w:val="none" w:sz="0" w:space="0" w:color="auto"/>
                                                        <w:left w:val="none" w:sz="0" w:space="0" w:color="auto"/>
                                                        <w:bottom w:val="none" w:sz="0" w:space="0" w:color="auto"/>
                                                        <w:right w:val="none" w:sz="0" w:space="0" w:color="auto"/>
                                                      </w:divBdr>
                                                    </w:div>
                                                  </w:divsChild>
                                                </w:div>
                                                <w:div w:id="1807160141">
                                                  <w:marLeft w:val="0"/>
                                                  <w:marRight w:val="0"/>
                                                  <w:marTop w:val="0"/>
                                                  <w:marBottom w:val="0"/>
                                                  <w:divBdr>
                                                    <w:top w:val="none" w:sz="0" w:space="0" w:color="auto"/>
                                                    <w:left w:val="none" w:sz="0" w:space="0" w:color="auto"/>
                                                    <w:bottom w:val="none" w:sz="0" w:space="0" w:color="auto"/>
                                                    <w:right w:val="none" w:sz="0" w:space="0" w:color="auto"/>
                                                  </w:divBdr>
                                                  <w:divsChild>
                                                    <w:div w:id="1684085571">
                                                      <w:marLeft w:val="0"/>
                                                      <w:marRight w:val="0"/>
                                                      <w:marTop w:val="0"/>
                                                      <w:marBottom w:val="0"/>
                                                      <w:divBdr>
                                                        <w:top w:val="none" w:sz="0" w:space="0" w:color="auto"/>
                                                        <w:left w:val="none" w:sz="0" w:space="0" w:color="auto"/>
                                                        <w:bottom w:val="none" w:sz="0" w:space="0" w:color="auto"/>
                                                        <w:right w:val="none" w:sz="0" w:space="0" w:color="auto"/>
                                                      </w:divBdr>
                                                    </w:div>
                                                  </w:divsChild>
                                                </w:div>
                                                <w:div w:id="78599249">
                                                  <w:marLeft w:val="0"/>
                                                  <w:marRight w:val="0"/>
                                                  <w:marTop w:val="0"/>
                                                  <w:marBottom w:val="0"/>
                                                  <w:divBdr>
                                                    <w:top w:val="none" w:sz="0" w:space="0" w:color="auto"/>
                                                    <w:left w:val="none" w:sz="0" w:space="0" w:color="auto"/>
                                                    <w:bottom w:val="none" w:sz="0" w:space="0" w:color="auto"/>
                                                    <w:right w:val="none" w:sz="0" w:space="0" w:color="auto"/>
                                                  </w:divBdr>
                                                </w:div>
                                                <w:div w:id="1445340496">
                                                  <w:marLeft w:val="0"/>
                                                  <w:marRight w:val="0"/>
                                                  <w:marTop w:val="0"/>
                                                  <w:marBottom w:val="0"/>
                                                  <w:divBdr>
                                                    <w:top w:val="none" w:sz="0" w:space="0" w:color="auto"/>
                                                    <w:left w:val="none" w:sz="0" w:space="0" w:color="auto"/>
                                                    <w:bottom w:val="none" w:sz="0" w:space="0" w:color="auto"/>
                                                    <w:right w:val="none" w:sz="0" w:space="0" w:color="auto"/>
                                                  </w:divBdr>
                                                  <w:divsChild>
                                                    <w:div w:id="1713842298">
                                                      <w:marLeft w:val="0"/>
                                                      <w:marRight w:val="0"/>
                                                      <w:marTop w:val="0"/>
                                                      <w:marBottom w:val="0"/>
                                                      <w:divBdr>
                                                        <w:top w:val="none" w:sz="0" w:space="0" w:color="auto"/>
                                                        <w:left w:val="none" w:sz="0" w:space="0" w:color="auto"/>
                                                        <w:bottom w:val="none" w:sz="0" w:space="0" w:color="auto"/>
                                                        <w:right w:val="none" w:sz="0" w:space="0" w:color="auto"/>
                                                      </w:divBdr>
                                                    </w:div>
                                                  </w:divsChild>
                                                </w:div>
                                                <w:div w:id="2050184078">
                                                  <w:marLeft w:val="0"/>
                                                  <w:marRight w:val="0"/>
                                                  <w:marTop w:val="0"/>
                                                  <w:marBottom w:val="0"/>
                                                  <w:divBdr>
                                                    <w:top w:val="none" w:sz="0" w:space="0" w:color="auto"/>
                                                    <w:left w:val="none" w:sz="0" w:space="0" w:color="auto"/>
                                                    <w:bottom w:val="none" w:sz="0" w:space="0" w:color="auto"/>
                                                    <w:right w:val="none" w:sz="0" w:space="0" w:color="auto"/>
                                                  </w:divBdr>
                                                  <w:divsChild>
                                                    <w:div w:id="646280233">
                                                      <w:marLeft w:val="0"/>
                                                      <w:marRight w:val="0"/>
                                                      <w:marTop w:val="0"/>
                                                      <w:marBottom w:val="0"/>
                                                      <w:divBdr>
                                                        <w:top w:val="none" w:sz="0" w:space="0" w:color="auto"/>
                                                        <w:left w:val="none" w:sz="0" w:space="0" w:color="auto"/>
                                                        <w:bottom w:val="none" w:sz="0" w:space="0" w:color="auto"/>
                                                        <w:right w:val="none" w:sz="0" w:space="0" w:color="auto"/>
                                                      </w:divBdr>
                                                    </w:div>
                                                  </w:divsChild>
                                                </w:div>
                                                <w:div w:id="288708894">
                                                  <w:marLeft w:val="0"/>
                                                  <w:marRight w:val="0"/>
                                                  <w:marTop w:val="0"/>
                                                  <w:marBottom w:val="0"/>
                                                  <w:divBdr>
                                                    <w:top w:val="none" w:sz="0" w:space="0" w:color="auto"/>
                                                    <w:left w:val="none" w:sz="0" w:space="0" w:color="auto"/>
                                                    <w:bottom w:val="none" w:sz="0" w:space="0" w:color="auto"/>
                                                    <w:right w:val="none" w:sz="0" w:space="0" w:color="auto"/>
                                                  </w:divBdr>
                                                  <w:divsChild>
                                                    <w:div w:id="118381832">
                                                      <w:marLeft w:val="0"/>
                                                      <w:marRight w:val="0"/>
                                                      <w:marTop w:val="0"/>
                                                      <w:marBottom w:val="0"/>
                                                      <w:divBdr>
                                                        <w:top w:val="none" w:sz="0" w:space="0" w:color="auto"/>
                                                        <w:left w:val="none" w:sz="0" w:space="0" w:color="auto"/>
                                                        <w:bottom w:val="none" w:sz="0" w:space="0" w:color="auto"/>
                                                        <w:right w:val="none" w:sz="0" w:space="0" w:color="auto"/>
                                                      </w:divBdr>
                                                    </w:div>
                                                  </w:divsChild>
                                                </w:div>
                                                <w:div w:id="4986644">
                                                  <w:marLeft w:val="0"/>
                                                  <w:marRight w:val="0"/>
                                                  <w:marTop w:val="0"/>
                                                  <w:marBottom w:val="0"/>
                                                  <w:divBdr>
                                                    <w:top w:val="none" w:sz="0" w:space="0" w:color="auto"/>
                                                    <w:left w:val="none" w:sz="0" w:space="0" w:color="auto"/>
                                                    <w:bottom w:val="none" w:sz="0" w:space="0" w:color="auto"/>
                                                    <w:right w:val="none" w:sz="0" w:space="0" w:color="auto"/>
                                                  </w:divBdr>
                                                  <w:divsChild>
                                                    <w:div w:id="856384362">
                                                      <w:marLeft w:val="0"/>
                                                      <w:marRight w:val="0"/>
                                                      <w:marTop w:val="0"/>
                                                      <w:marBottom w:val="0"/>
                                                      <w:divBdr>
                                                        <w:top w:val="none" w:sz="0" w:space="0" w:color="auto"/>
                                                        <w:left w:val="none" w:sz="0" w:space="0" w:color="auto"/>
                                                        <w:bottom w:val="none" w:sz="0" w:space="0" w:color="auto"/>
                                                        <w:right w:val="none" w:sz="0" w:space="0" w:color="auto"/>
                                                      </w:divBdr>
                                                    </w:div>
                                                  </w:divsChild>
                                                </w:div>
                                                <w:div w:id="1600406943">
                                                  <w:marLeft w:val="0"/>
                                                  <w:marRight w:val="0"/>
                                                  <w:marTop w:val="0"/>
                                                  <w:marBottom w:val="0"/>
                                                  <w:divBdr>
                                                    <w:top w:val="none" w:sz="0" w:space="0" w:color="auto"/>
                                                    <w:left w:val="none" w:sz="0" w:space="0" w:color="auto"/>
                                                    <w:bottom w:val="none" w:sz="0" w:space="0" w:color="auto"/>
                                                    <w:right w:val="none" w:sz="0" w:space="0" w:color="auto"/>
                                                  </w:divBdr>
                                                  <w:divsChild>
                                                    <w:div w:id="1644196010">
                                                      <w:marLeft w:val="0"/>
                                                      <w:marRight w:val="0"/>
                                                      <w:marTop w:val="0"/>
                                                      <w:marBottom w:val="0"/>
                                                      <w:divBdr>
                                                        <w:top w:val="none" w:sz="0" w:space="0" w:color="auto"/>
                                                        <w:left w:val="none" w:sz="0" w:space="0" w:color="auto"/>
                                                        <w:bottom w:val="none" w:sz="0" w:space="0" w:color="auto"/>
                                                        <w:right w:val="none" w:sz="0" w:space="0" w:color="auto"/>
                                                      </w:divBdr>
                                                    </w:div>
                                                  </w:divsChild>
                                                </w:div>
                                                <w:div w:id="752093592">
                                                  <w:marLeft w:val="0"/>
                                                  <w:marRight w:val="0"/>
                                                  <w:marTop w:val="0"/>
                                                  <w:marBottom w:val="0"/>
                                                  <w:divBdr>
                                                    <w:top w:val="none" w:sz="0" w:space="0" w:color="auto"/>
                                                    <w:left w:val="none" w:sz="0" w:space="0" w:color="auto"/>
                                                    <w:bottom w:val="none" w:sz="0" w:space="0" w:color="auto"/>
                                                    <w:right w:val="none" w:sz="0" w:space="0" w:color="auto"/>
                                                  </w:divBdr>
                                                  <w:divsChild>
                                                    <w:div w:id="2130083610">
                                                      <w:marLeft w:val="0"/>
                                                      <w:marRight w:val="0"/>
                                                      <w:marTop w:val="0"/>
                                                      <w:marBottom w:val="0"/>
                                                      <w:divBdr>
                                                        <w:top w:val="none" w:sz="0" w:space="0" w:color="auto"/>
                                                        <w:left w:val="none" w:sz="0" w:space="0" w:color="auto"/>
                                                        <w:bottom w:val="none" w:sz="0" w:space="0" w:color="auto"/>
                                                        <w:right w:val="none" w:sz="0" w:space="0" w:color="auto"/>
                                                      </w:divBdr>
                                                    </w:div>
                                                  </w:divsChild>
                                                </w:div>
                                                <w:div w:id="558176706">
                                                  <w:marLeft w:val="0"/>
                                                  <w:marRight w:val="0"/>
                                                  <w:marTop w:val="0"/>
                                                  <w:marBottom w:val="0"/>
                                                  <w:divBdr>
                                                    <w:top w:val="none" w:sz="0" w:space="0" w:color="auto"/>
                                                    <w:left w:val="none" w:sz="0" w:space="0" w:color="auto"/>
                                                    <w:bottom w:val="none" w:sz="0" w:space="0" w:color="auto"/>
                                                    <w:right w:val="none" w:sz="0" w:space="0" w:color="auto"/>
                                                  </w:divBdr>
                                                  <w:divsChild>
                                                    <w:div w:id="2049063000">
                                                      <w:marLeft w:val="0"/>
                                                      <w:marRight w:val="0"/>
                                                      <w:marTop w:val="0"/>
                                                      <w:marBottom w:val="0"/>
                                                      <w:divBdr>
                                                        <w:top w:val="none" w:sz="0" w:space="0" w:color="auto"/>
                                                        <w:left w:val="none" w:sz="0" w:space="0" w:color="auto"/>
                                                        <w:bottom w:val="none" w:sz="0" w:space="0" w:color="auto"/>
                                                        <w:right w:val="none" w:sz="0" w:space="0" w:color="auto"/>
                                                      </w:divBdr>
                                                    </w:div>
                                                  </w:divsChild>
                                                </w:div>
                                                <w:div w:id="256911735">
                                                  <w:marLeft w:val="0"/>
                                                  <w:marRight w:val="0"/>
                                                  <w:marTop w:val="0"/>
                                                  <w:marBottom w:val="0"/>
                                                  <w:divBdr>
                                                    <w:top w:val="none" w:sz="0" w:space="0" w:color="auto"/>
                                                    <w:left w:val="none" w:sz="0" w:space="0" w:color="auto"/>
                                                    <w:bottom w:val="none" w:sz="0" w:space="0" w:color="auto"/>
                                                    <w:right w:val="none" w:sz="0" w:space="0" w:color="auto"/>
                                                  </w:divBdr>
                                                  <w:divsChild>
                                                    <w:div w:id="769007979">
                                                      <w:marLeft w:val="0"/>
                                                      <w:marRight w:val="0"/>
                                                      <w:marTop w:val="0"/>
                                                      <w:marBottom w:val="0"/>
                                                      <w:divBdr>
                                                        <w:top w:val="none" w:sz="0" w:space="0" w:color="auto"/>
                                                        <w:left w:val="none" w:sz="0" w:space="0" w:color="auto"/>
                                                        <w:bottom w:val="none" w:sz="0" w:space="0" w:color="auto"/>
                                                        <w:right w:val="none" w:sz="0" w:space="0" w:color="auto"/>
                                                      </w:divBdr>
                                                    </w:div>
                                                  </w:divsChild>
                                                </w:div>
                                                <w:div w:id="458454910">
                                                  <w:marLeft w:val="0"/>
                                                  <w:marRight w:val="0"/>
                                                  <w:marTop w:val="0"/>
                                                  <w:marBottom w:val="0"/>
                                                  <w:divBdr>
                                                    <w:top w:val="none" w:sz="0" w:space="0" w:color="auto"/>
                                                    <w:left w:val="none" w:sz="0" w:space="0" w:color="auto"/>
                                                    <w:bottom w:val="none" w:sz="0" w:space="0" w:color="auto"/>
                                                    <w:right w:val="none" w:sz="0" w:space="0" w:color="auto"/>
                                                  </w:divBdr>
                                                  <w:divsChild>
                                                    <w:div w:id="1409182792">
                                                      <w:marLeft w:val="0"/>
                                                      <w:marRight w:val="0"/>
                                                      <w:marTop w:val="0"/>
                                                      <w:marBottom w:val="0"/>
                                                      <w:divBdr>
                                                        <w:top w:val="none" w:sz="0" w:space="0" w:color="auto"/>
                                                        <w:left w:val="none" w:sz="0" w:space="0" w:color="auto"/>
                                                        <w:bottom w:val="none" w:sz="0" w:space="0" w:color="auto"/>
                                                        <w:right w:val="none" w:sz="0" w:space="0" w:color="auto"/>
                                                      </w:divBdr>
                                                    </w:div>
                                                  </w:divsChild>
                                                </w:div>
                                                <w:div w:id="1304382825">
                                                  <w:marLeft w:val="0"/>
                                                  <w:marRight w:val="0"/>
                                                  <w:marTop w:val="0"/>
                                                  <w:marBottom w:val="0"/>
                                                  <w:divBdr>
                                                    <w:top w:val="none" w:sz="0" w:space="0" w:color="auto"/>
                                                    <w:left w:val="none" w:sz="0" w:space="0" w:color="auto"/>
                                                    <w:bottom w:val="none" w:sz="0" w:space="0" w:color="auto"/>
                                                    <w:right w:val="none" w:sz="0" w:space="0" w:color="auto"/>
                                                  </w:divBdr>
                                                  <w:divsChild>
                                                    <w:div w:id="1362434919">
                                                      <w:marLeft w:val="0"/>
                                                      <w:marRight w:val="0"/>
                                                      <w:marTop w:val="0"/>
                                                      <w:marBottom w:val="0"/>
                                                      <w:divBdr>
                                                        <w:top w:val="none" w:sz="0" w:space="0" w:color="auto"/>
                                                        <w:left w:val="none" w:sz="0" w:space="0" w:color="auto"/>
                                                        <w:bottom w:val="none" w:sz="0" w:space="0" w:color="auto"/>
                                                        <w:right w:val="none" w:sz="0" w:space="0" w:color="auto"/>
                                                      </w:divBdr>
                                                    </w:div>
                                                  </w:divsChild>
                                                </w:div>
                                                <w:div w:id="1048532671">
                                                  <w:marLeft w:val="0"/>
                                                  <w:marRight w:val="0"/>
                                                  <w:marTop w:val="0"/>
                                                  <w:marBottom w:val="0"/>
                                                  <w:divBdr>
                                                    <w:top w:val="none" w:sz="0" w:space="0" w:color="auto"/>
                                                    <w:left w:val="none" w:sz="0" w:space="0" w:color="auto"/>
                                                    <w:bottom w:val="none" w:sz="0" w:space="0" w:color="auto"/>
                                                    <w:right w:val="none" w:sz="0" w:space="0" w:color="auto"/>
                                                  </w:divBdr>
                                                </w:div>
                                                <w:div w:id="1919048902">
                                                  <w:marLeft w:val="0"/>
                                                  <w:marRight w:val="0"/>
                                                  <w:marTop w:val="0"/>
                                                  <w:marBottom w:val="0"/>
                                                  <w:divBdr>
                                                    <w:top w:val="none" w:sz="0" w:space="0" w:color="auto"/>
                                                    <w:left w:val="none" w:sz="0" w:space="0" w:color="auto"/>
                                                    <w:bottom w:val="none" w:sz="0" w:space="0" w:color="auto"/>
                                                    <w:right w:val="none" w:sz="0" w:space="0" w:color="auto"/>
                                                  </w:divBdr>
                                                </w:div>
                                                <w:div w:id="517621955">
                                                  <w:marLeft w:val="0"/>
                                                  <w:marRight w:val="0"/>
                                                  <w:marTop w:val="0"/>
                                                  <w:marBottom w:val="0"/>
                                                  <w:divBdr>
                                                    <w:top w:val="none" w:sz="0" w:space="0" w:color="auto"/>
                                                    <w:left w:val="none" w:sz="0" w:space="0" w:color="auto"/>
                                                    <w:bottom w:val="none" w:sz="0" w:space="0" w:color="auto"/>
                                                    <w:right w:val="none" w:sz="0" w:space="0" w:color="auto"/>
                                                  </w:divBdr>
                                                  <w:divsChild>
                                                    <w:div w:id="2130051466">
                                                      <w:marLeft w:val="0"/>
                                                      <w:marRight w:val="0"/>
                                                      <w:marTop w:val="0"/>
                                                      <w:marBottom w:val="0"/>
                                                      <w:divBdr>
                                                        <w:top w:val="none" w:sz="0" w:space="0" w:color="auto"/>
                                                        <w:left w:val="none" w:sz="0" w:space="0" w:color="auto"/>
                                                        <w:bottom w:val="none" w:sz="0" w:space="0" w:color="auto"/>
                                                        <w:right w:val="none" w:sz="0" w:space="0" w:color="auto"/>
                                                      </w:divBdr>
                                                    </w:div>
                                                  </w:divsChild>
                                                </w:div>
                                                <w:div w:id="516693643">
                                                  <w:marLeft w:val="0"/>
                                                  <w:marRight w:val="0"/>
                                                  <w:marTop w:val="0"/>
                                                  <w:marBottom w:val="0"/>
                                                  <w:divBdr>
                                                    <w:top w:val="none" w:sz="0" w:space="0" w:color="auto"/>
                                                    <w:left w:val="none" w:sz="0" w:space="0" w:color="auto"/>
                                                    <w:bottom w:val="none" w:sz="0" w:space="0" w:color="auto"/>
                                                    <w:right w:val="none" w:sz="0" w:space="0" w:color="auto"/>
                                                  </w:divBdr>
                                                </w:div>
                                                <w:div w:id="1480536230">
                                                  <w:marLeft w:val="0"/>
                                                  <w:marRight w:val="0"/>
                                                  <w:marTop w:val="0"/>
                                                  <w:marBottom w:val="0"/>
                                                  <w:divBdr>
                                                    <w:top w:val="none" w:sz="0" w:space="0" w:color="auto"/>
                                                    <w:left w:val="none" w:sz="0" w:space="0" w:color="auto"/>
                                                    <w:bottom w:val="none" w:sz="0" w:space="0" w:color="auto"/>
                                                    <w:right w:val="none" w:sz="0" w:space="0" w:color="auto"/>
                                                  </w:divBdr>
                                                </w:div>
                                                <w:div w:id="1563251761">
                                                  <w:marLeft w:val="0"/>
                                                  <w:marRight w:val="0"/>
                                                  <w:marTop w:val="0"/>
                                                  <w:marBottom w:val="0"/>
                                                  <w:divBdr>
                                                    <w:top w:val="none" w:sz="0" w:space="0" w:color="auto"/>
                                                    <w:left w:val="none" w:sz="0" w:space="0" w:color="auto"/>
                                                    <w:bottom w:val="none" w:sz="0" w:space="0" w:color="auto"/>
                                                    <w:right w:val="none" w:sz="0" w:space="0" w:color="auto"/>
                                                  </w:divBdr>
                                                </w:div>
                                                <w:div w:id="282542161">
                                                  <w:marLeft w:val="0"/>
                                                  <w:marRight w:val="0"/>
                                                  <w:marTop w:val="0"/>
                                                  <w:marBottom w:val="0"/>
                                                  <w:divBdr>
                                                    <w:top w:val="none" w:sz="0" w:space="0" w:color="auto"/>
                                                    <w:left w:val="none" w:sz="0" w:space="0" w:color="auto"/>
                                                    <w:bottom w:val="none" w:sz="0" w:space="0" w:color="auto"/>
                                                    <w:right w:val="none" w:sz="0" w:space="0" w:color="auto"/>
                                                  </w:divBdr>
                                                </w:div>
                                                <w:div w:id="27724999">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0"/>
                                                      <w:marBottom w:val="0"/>
                                                      <w:divBdr>
                                                        <w:top w:val="none" w:sz="0" w:space="0" w:color="auto"/>
                                                        <w:left w:val="none" w:sz="0" w:space="0" w:color="auto"/>
                                                        <w:bottom w:val="none" w:sz="0" w:space="0" w:color="auto"/>
                                                        <w:right w:val="none" w:sz="0" w:space="0" w:color="auto"/>
                                                      </w:divBdr>
                                                    </w:div>
                                                  </w:divsChild>
                                                </w:div>
                                                <w:div w:id="485055953">
                                                  <w:marLeft w:val="0"/>
                                                  <w:marRight w:val="0"/>
                                                  <w:marTop w:val="0"/>
                                                  <w:marBottom w:val="0"/>
                                                  <w:divBdr>
                                                    <w:top w:val="none" w:sz="0" w:space="0" w:color="auto"/>
                                                    <w:left w:val="none" w:sz="0" w:space="0" w:color="auto"/>
                                                    <w:bottom w:val="none" w:sz="0" w:space="0" w:color="auto"/>
                                                    <w:right w:val="none" w:sz="0" w:space="0" w:color="auto"/>
                                                  </w:divBdr>
                                                  <w:divsChild>
                                                    <w:div w:id="3542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21583">
      <w:bodyDiv w:val="1"/>
      <w:marLeft w:val="0"/>
      <w:marRight w:val="0"/>
      <w:marTop w:val="0"/>
      <w:marBottom w:val="0"/>
      <w:divBdr>
        <w:top w:val="none" w:sz="0" w:space="0" w:color="auto"/>
        <w:left w:val="none" w:sz="0" w:space="0" w:color="auto"/>
        <w:bottom w:val="none" w:sz="0" w:space="0" w:color="auto"/>
        <w:right w:val="none" w:sz="0" w:space="0" w:color="auto"/>
      </w:divBdr>
      <w:divsChild>
        <w:div w:id="476462250">
          <w:marLeft w:val="0"/>
          <w:marRight w:val="0"/>
          <w:marTop w:val="0"/>
          <w:marBottom w:val="0"/>
          <w:divBdr>
            <w:top w:val="none" w:sz="0" w:space="0" w:color="auto"/>
            <w:left w:val="none" w:sz="0" w:space="0" w:color="auto"/>
            <w:bottom w:val="none" w:sz="0" w:space="0" w:color="auto"/>
            <w:right w:val="none" w:sz="0" w:space="0" w:color="auto"/>
          </w:divBdr>
          <w:divsChild>
            <w:div w:id="1372265254">
              <w:marLeft w:val="0"/>
              <w:marRight w:val="0"/>
              <w:marTop w:val="150"/>
              <w:marBottom w:val="0"/>
              <w:divBdr>
                <w:top w:val="none" w:sz="0" w:space="0" w:color="auto"/>
                <w:left w:val="none" w:sz="0" w:space="0" w:color="auto"/>
                <w:bottom w:val="none" w:sz="0" w:space="0" w:color="auto"/>
                <w:right w:val="none" w:sz="0" w:space="0" w:color="auto"/>
              </w:divBdr>
              <w:divsChild>
                <w:div w:id="1176648984">
                  <w:marLeft w:val="3300"/>
                  <w:marRight w:val="0"/>
                  <w:marTop w:val="0"/>
                  <w:marBottom w:val="0"/>
                  <w:divBdr>
                    <w:top w:val="none" w:sz="0" w:space="0" w:color="auto"/>
                    <w:left w:val="none" w:sz="0" w:space="0" w:color="auto"/>
                    <w:bottom w:val="none" w:sz="0" w:space="0" w:color="auto"/>
                    <w:right w:val="none" w:sz="0" w:space="0" w:color="auto"/>
                  </w:divBdr>
                  <w:divsChild>
                    <w:div w:id="1460220399">
                      <w:marLeft w:val="0"/>
                      <w:marRight w:val="0"/>
                      <w:marTop w:val="0"/>
                      <w:marBottom w:val="0"/>
                      <w:divBdr>
                        <w:top w:val="single" w:sz="6" w:space="7" w:color="A8A8A8"/>
                        <w:left w:val="single" w:sz="2" w:space="14" w:color="A8A8A8"/>
                        <w:bottom w:val="single" w:sz="6" w:space="7" w:color="A8A8A8"/>
                        <w:right w:val="single" w:sz="2" w:space="14" w:color="A8A8A8"/>
                      </w:divBdr>
                      <w:divsChild>
                        <w:div w:id="1250038664">
                          <w:marLeft w:val="0"/>
                          <w:marRight w:val="0"/>
                          <w:marTop w:val="0"/>
                          <w:marBottom w:val="0"/>
                          <w:divBdr>
                            <w:top w:val="none" w:sz="0" w:space="0" w:color="auto"/>
                            <w:left w:val="none" w:sz="0" w:space="0" w:color="auto"/>
                            <w:bottom w:val="none" w:sz="0" w:space="0" w:color="auto"/>
                            <w:right w:val="none" w:sz="0" w:space="0" w:color="auto"/>
                          </w:divBdr>
                          <w:divsChild>
                            <w:div w:id="249199783">
                              <w:marLeft w:val="0"/>
                              <w:marRight w:val="0"/>
                              <w:marTop w:val="0"/>
                              <w:marBottom w:val="0"/>
                              <w:divBdr>
                                <w:top w:val="none" w:sz="0" w:space="0" w:color="auto"/>
                                <w:left w:val="none" w:sz="0" w:space="0" w:color="auto"/>
                                <w:bottom w:val="none" w:sz="0" w:space="0" w:color="auto"/>
                                <w:right w:val="none" w:sz="0" w:space="0" w:color="auto"/>
                              </w:divBdr>
                              <w:divsChild>
                                <w:div w:id="965771036">
                                  <w:marLeft w:val="0"/>
                                  <w:marRight w:val="0"/>
                                  <w:marTop w:val="0"/>
                                  <w:marBottom w:val="0"/>
                                  <w:divBdr>
                                    <w:top w:val="none" w:sz="0" w:space="0" w:color="auto"/>
                                    <w:left w:val="none" w:sz="0" w:space="0" w:color="auto"/>
                                    <w:bottom w:val="none" w:sz="0" w:space="0" w:color="auto"/>
                                    <w:right w:val="none" w:sz="0" w:space="0" w:color="auto"/>
                                  </w:divBdr>
                                  <w:divsChild>
                                    <w:div w:id="880214945">
                                      <w:marLeft w:val="0"/>
                                      <w:marRight w:val="0"/>
                                      <w:marTop w:val="0"/>
                                      <w:marBottom w:val="0"/>
                                      <w:divBdr>
                                        <w:top w:val="none" w:sz="0" w:space="0" w:color="auto"/>
                                        <w:left w:val="none" w:sz="0" w:space="0" w:color="auto"/>
                                        <w:bottom w:val="none" w:sz="0" w:space="0" w:color="auto"/>
                                        <w:right w:val="none" w:sz="0" w:space="0" w:color="auto"/>
                                      </w:divBdr>
                                      <w:divsChild>
                                        <w:div w:id="1343701161">
                                          <w:marLeft w:val="0"/>
                                          <w:marRight w:val="0"/>
                                          <w:marTop w:val="0"/>
                                          <w:marBottom w:val="0"/>
                                          <w:divBdr>
                                            <w:top w:val="none" w:sz="0" w:space="0" w:color="auto"/>
                                            <w:left w:val="none" w:sz="0" w:space="0" w:color="auto"/>
                                            <w:bottom w:val="none" w:sz="0" w:space="0" w:color="auto"/>
                                            <w:right w:val="none" w:sz="0" w:space="0" w:color="auto"/>
                                          </w:divBdr>
                                          <w:divsChild>
                                            <w:div w:id="1747921775">
                                              <w:marLeft w:val="0"/>
                                              <w:marRight w:val="0"/>
                                              <w:marTop w:val="0"/>
                                              <w:marBottom w:val="0"/>
                                              <w:divBdr>
                                                <w:top w:val="none" w:sz="0" w:space="0" w:color="auto"/>
                                                <w:left w:val="none" w:sz="0" w:space="0" w:color="auto"/>
                                                <w:bottom w:val="none" w:sz="0" w:space="0" w:color="auto"/>
                                                <w:right w:val="none" w:sz="0" w:space="0" w:color="auto"/>
                                              </w:divBdr>
                                              <w:divsChild>
                                                <w:div w:id="503518525">
                                                  <w:marLeft w:val="0"/>
                                                  <w:marRight w:val="0"/>
                                                  <w:marTop w:val="0"/>
                                                  <w:marBottom w:val="0"/>
                                                  <w:divBdr>
                                                    <w:top w:val="none" w:sz="0" w:space="0" w:color="auto"/>
                                                    <w:left w:val="none" w:sz="0" w:space="0" w:color="auto"/>
                                                    <w:bottom w:val="none" w:sz="0" w:space="0" w:color="auto"/>
                                                    <w:right w:val="none" w:sz="0" w:space="0" w:color="auto"/>
                                                  </w:divBdr>
                                                  <w:divsChild>
                                                    <w:div w:id="1671441599">
                                                      <w:marLeft w:val="0"/>
                                                      <w:marRight w:val="0"/>
                                                      <w:marTop w:val="0"/>
                                                      <w:marBottom w:val="0"/>
                                                      <w:divBdr>
                                                        <w:top w:val="none" w:sz="0" w:space="0" w:color="auto"/>
                                                        <w:left w:val="none" w:sz="0" w:space="0" w:color="auto"/>
                                                        <w:bottom w:val="none" w:sz="0" w:space="0" w:color="auto"/>
                                                        <w:right w:val="none" w:sz="0" w:space="0" w:color="auto"/>
                                                      </w:divBdr>
                                                    </w:div>
                                                  </w:divsChild>
                                                </w:div>
                                                <w:div w:id="1894534800">
                                                  <w:marLeft w:val="0"/>
                                                  <w:marRight w:val="0"/>
                                                  <w:marTop w:val="0"/>
                                                  <w:marBottom w:val="0"/>
                                                  <w:divBdr>
                                                    <w:top w:val="none" w:sz="0" w:space="0" w:color="auto"/>
                                                    <w:left w:val="none" w:sz="0" w:space="0" w:color="auto"/>
                                                    <w:bottom w:val="none" w:sz="0" w:space="0" w:color="auto"/>
                                                    <w:right w:val="none" w:sz="0" w:space="0" w:color="auto"/>
                                                  </w:divBdr>
                                                  <w:divsChild>
                                                    <w:div w:id="1351026094">
                                                      <w:marLeft w:val="0"/>
                                                      <w:marRight w:val="0"/>
                                                      <w:marTop w:val="0"/>
                                                      <w:marBottom w:val="0"/>
                                                      <w:divBdr>
                                                        <w:top w:val="none" w:sz="0" w:space="0" w:color="auto"/>
                                                        <w:left w:val="none" w:sz="0" w:space="0" w:color="auto"/>
                                                        <w:bottom w:val="none" w:sz="0" w:space="0" w:color="auto"/>
                                                        <w:right w:val="none" w:sz="0" w:space="0" w:color="auto"/>
                                                      </w:divBdr>
                                                    </w:div>
                                                  </w:divsChild>
                                                </w:div>
                                                <w:div w:id="807821042">
                                                  <w:marLeft w:val="0"/>
                                                  <w:marRight w:val="0"/>
                                                  <w:marTop w:val="0"/>
                                                  <w:marBottom w:val="0"/>
                                                  <w:divBdr>
                                                    <w:top w:val="none" w:sz="0" w:space="0" w:color="auto"/>
                                                    <w:left w:val="none" w:sz="0" w:space="0" w:color="auto"/>
                                                    <w:bottom w:val="none" w:sz="0" w:space="0" w:color="auto"/>
                                                    <w:right w:val="none" w:sz="0" w:space="0" w:color="auto"/>
                                                  </w:divBdr>
                                                  <w:divsChild>
                                                    <w:div w:id="454258470">
                                                      <w:marLeft w:val="0"/>
                                                      <w:marRight w:val="0"/>
                                                      <w:marTop w:val="0"/>
                                                      <w:marBottom w:val="0"/>
                                                      <w:divBdr>
                                                        <w:top w:val="none" w:sz="0" w:space="0" w:color="auto"/>
                                                        <w:left w:val="none" w:sz="0" w:space="0" w:color="auto"/>
                                                        <w:bottom w:val="none" w:sz="0" w:space="0" w:color="auto"/>
                                                        <w:right w:val="none" w:sz="0" w:space="0" w:color="auto"/>
                                                      </w:divBdr>
                                                    </w:div>
                                                  </w:divsChild>
                                                </w:div>
                                                <w:div w:id="1884632786">
                                                  <w:marLeft w:val="0"/>
                                                  <w:marRight w:val="0"/>
                                                  <w:marTop w:val="0"/>
                                                  <w:marBottom w:val="0"/>
                                                  <w:divBdr>
                                                    <w:top w:val="none" w:sz="0" w:space="0" w:color="auto"/>
                                                    <w:left w:val="none" w:sz="0" w:space="0" w:color="auto"/>
                                                    <w:bottom w:val="none" w:sz="0" w:space="0" w:color="auto"/>
                                                    <w:right w:val="none" w:sz="0" w:space="0" w:color="auto"/>
                                                  </w:divBdr>
                                                </w:div>
                                                <w:div w:id="945968602">
                                                  <w:marLeft w:val="0"/>
                                                  <w:marRight w:val="0"/>
                                                  <w:marTop w:val="0"/>
                                                  <w:marBottom w:val="0"/>
                                                  <w:divBdr>
                                                    <w:top w:val="none" w:sz="0" w:space="0" w:color="auto"/>
                                                    <w:left w:val="none" w:sz="0" w:space="0" w:color="auto"/>
                                                    <w:bottom w:val="none" w:sz="0" w:space="0" w:color="auto"/>
                                                    <w:right w:val="none" w:sz="0" w:space="0" w:color="auto"/>
                                                  </w:divBdr>
                                                </w:div>
                                                <w:div w:id="789401427">
                                                  <w:marLeft w:val="0"/>
                                                  <w:marRight w:val="0"/>
                                                  <w:marTop w:val="0"/>
                                                  <w:marBottom w:val="0"/>
                                                  <w:divBdr>
                                                    <w:top w:val="none" w:sz="0" w:space="0" w:color="auto"/>
                                                    <w:left w:val="none" w:sz="0" w:space="0" w:color="auto"/>
                                                    <w:bottom w:val="none" w:sz="0" w:space="0" w:color="auto"/>
                                                    <w:right w:val="none" w:sz="0" w:space="0" w:color="auto"/>
                                                  </w:divBdr>
                                                  <w:divsChild>
                                                    <w:div w:id="1701470970">
                                                      <w:marLeft w:val="0"/>
                                                      <w:marRight w:val="0"/>
                                                      <w:marTop w:val="0"/>
                                                      <w:marBottom w:val="0"/>
                                                      <w:divBdr>
                                                        <w:top w:val="none" w:sz="0" w:space="0" w:color="auto"/>
                                                        <w:left w:val="none" w:sz="0" w:space="0" w:color="auto"/>
                                                        <w:bottom w:val="none" w:sz="0" w:space="0" w:color="auto"/>
                                                        <w:right w:val="none" w:sz="0" w:space="0" w:color="auto"/>
                                                      </w:divBdr>
                                                    </w:div>
                                                  </w:divsChild>
                                                </w:div>
                                                <w:div w:id="1830632213">
                                                  <w:marLeft w:val="0"/>
                                                  <w:marRight w:val="0"/>
                                                  <w:marTop w:val="0"/>
                                                  <w:marBottom w:val="0"/>
                                                  <w:divBdr>
                                                    <w:top w:val="none" w:sz="0" w:space="0" w:color="auto"/>
                                                    <w:left w:val="none" w:sz="0" w:space="0" w:color="auto"/>
                                                    <w:bottom w:val="none" w:sz="0" w:space="0" w:color="auto"/>
                                                    <w:right w:val="none" w:sz="0" w:space="0" w:color="auto"/>
                                                  </w:divBdr>
                                                </w:div>
                                                <w:div w:id="1372681795">
                                                  <w:marLeft w:val="0"/>
                                                  <w:marRight w:val="0"/>
                                                  <w:marTop w:val="0"/>
                                                  <w:marBottom w:val="0"/>
                                                  <w:divBdr>
                                                    <w:top w:val="none" w:sz="0" w:space="0" w:color="auto"/>
                                                    <w:left w:val="none" w:sz="0" w:space="0" w:color="auto"/>
                                                    <w:bottom w:val="none" w:sz="0" w:space="0" w:color="auto"/>
                                                    <w:right w:val="none" w:sz="0" w:space="0" w:color="auto"/>
                                                  </w:divBdr>
                                                </w:div>
                                                <w:div w:id="565996567">
                                                  <w:marLeft w:val="0"/>
                                                  <w:marRight w:val="0"/>
                                                  <w:marTop w:val="0"/>
                                                  <w:marBottom w:val="0"/>
                                                  <w:divBdr>
                                                    <w:top w:val="none" w:sz="0" w:space="0" w:color="auto"/>
                                                    <w:left w:val="none" w:sz="0" w:space="0" w:color="auto"/>
                                                    <w:bottom w:val="none" w:sz="0" w:space="0" w:color="auto"/>
                                                    <w:right w:val="none" w:sz="0" w:space="0" w:color="auto"/>
                                                  </w:divBdr>
                                                </w:div>
                                                <w:div w:id="1775248082">
                                                  <w:marLeft w:val="0"/>
                                                  <w:marRight w:val="0"/>
                                                  <w:marTop w:val="0"/>
                                                  <w:marBottom w:val="0"/>
                                                  <w:divBdr>
                                                    <w:top w:val="none" w:sz="0" w:space="0" w:color="auto"/>
                                                    <w:left w:val="none" w:sz="0" w:space="0" w:color="auto"/>
                                                    <w:bottom w:val="none" w:sz="0" w:space="0" w:color="auto"/>
                                                    <w:right w:val="none" w:sz="0" w:space="0" w:color="auto"/>
                                                  </w:divBdr>
                                                </w:div>
                                                <w:div w:id="187066745">
                                                  <w:marLeft w:val="0"/>
                                                  <w:marRight w:val="0"/>
                                                  <w:marTop w:val="0"/>
                                                  <w:marBottom w:val="0"/>
                                                  <w:divBdr>
                                                    <w:top w:val="none" w:sz="0" w:space="0" w:color="auto"/>
                                                    <w:left w:val="none" w:sz="0" w:space="0" w:color="auto"/>
                                                    <w:bottom w:val="none" w:sz="0" w:space="0" w:color="auto"/>
                                                    <w:right w:val="none" w:sz="0" w:space="0" w:color="auto"/>
                                                  </w:divBdr>
                                                  <w:divsChild>
                                                    <w:div w:id="1419330138">
                                                      <w:marLeft w:val="0"/>
                                                      <w:marRight w:val="0"/>
                                                      <w:marTop w:val="0"/>
                                                      <w:marBottom w:val="0"/>
                                                      <w:divBdr>
                                                        <w:top w:val="none" w:sz="0" w:space="0" w:color="auto"/>
                                                        <w:left w:val="none" w:sz="0" w:space="0" w:color="auto"/>
                                                        <w:bottom w:val="none" w:sz="0" w:space="0" w:color="auto"/>
                                                        <w:right w:val="none" w:sz="0" w:space="0" w:color="auto"/>
                                                      </w:divBdr>
                                                    </w:div>
                                                  </w:divsChild>
                                                </w:div>
                                                <w:div w:id="1096556642">
                                                  <w:marLeft w:val="0"/>
                                                  <w:marRight w:val="0"/>
                                                  <w:marTop w:val="0"/>
                                                  <w:marBottom w:val="0"/>
                                                  <w:divBdr>
                                                    <w:top w:val="none" w:sz="0" w:space="0" w:color="auto"/>
                                                    <w:left w:val="none" w:sz="0" w:space="0" w:color="auto"/>
                                                    <w:bottom w:val="none" w:sz="0" w:space="0" w:color="auto"/>
                                                    <w:right w:val="none" w:sz="0" w:space="0" w:color="auto"/>
                                                  </w:divBdr>
                                                  <w:divsChild>
                                                    <w:div w:id="7745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07" Type="http://schemas.openxmlformats.org/officeDocument/2006/relationships/image" Target="media/image6.png"/><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1.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10" Type="http://schemas.openxmlformats.org/officeDocument/2006/relationships/image" Target="media/image9.jpeg"/><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image" Target="media/image2.jpeg"/><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image" Target="media/image4.jpeg"/><Relationship Id="rId113" Type="http://schemas.openxmlformats.org/officeDocument/2006/relationships/theme" Target="theme/theme1.xml"/><Relationship Id="rId8" Type="http://schemas.openxmlformats.org/officeDocument/2006/relationships/hyperlink" Target="http://consult.moretonbay.qld.gov.au/portal/mbrcpsv3?pointId=s1360106863373"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image" Target="media/image7.jpeg"/><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image" Target="media/image5.jpeg"/><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image" Target="media/image8.jpeg"/><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image" Target="media/image3.jpeg"/><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31</Pages>
  <Words>11153</Words>
  <Characters>63577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7</cp:revision>
  <dcterms:created xsi:type="dcterms:W3CDTF">2017-07-04T01:32:00Z</dcterms:created>
  <dcterms:modified xsi:type="dcterms:W3CDTF">2017-07-19T05:26:00Z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A15536132</vt:lpwstr>
  </property>
  <property fmtid="{D5CDD505-2E9C-101B-9397-08002B2CF9AE}" pid="4" name="Objective-Title">
    <vt:lpwstr>Use code - Dwelling house code - Requirements for accepted development</vt:lpwstr>
  </property>
  <property fmtid="{D5CDD505-2E9C-101B-9397-08002B2CF9AE}" pid="5" name="Objective-Comment">
    <vt:lpwstr/>
  </property>
  <property fmtid="{D5CDD505-2E9C-101B-9397-08002B2CF9AE}" pid="6" name="Objective-CreationStamp">
    <vt:filetime>2017-07-05T01:25:48Z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2017-07-19T05:23:11Z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Codes:</vt:lpwstr>
  </property>
  <property fmtid="{D5CDD505-2E9C-101B-9397-08002B2CF9AE}" pid="13" name="Objective-Parent">
    <vt:lpwstr>08 Amended Codes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