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AD3631" w:rsidRPr="00AD3631" w:rsidTr="00AD3631">
        <w:trPr>
          <w:tblCellSpacing w:w="15" w:type="dxa"/>
          <w:jc w:val="center"/>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Table 9.4.4.3 Assessable development - Advertising devices</w:t>
            </w:r>
          </w:p>
        </w:tc>
      </w:tr>
    </w:tbl>
    <w:p w:rsidR="00AD3631" w:rsidRDefault="00AD3631"/>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3"/>
        <w:gridCol w:w="39"/>
        <w:gridCol w:w="5054"/>
        <w:gridCol w:w="100"/>
        <w:gridCol w:w="1620"/>
        <w:gridCol w:w="97"/>
        <w:gridCol w:w="3749"/>
      </w:tblGrid>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Performance outcomes</w:t>
            </w:r>
          </w:p>
        </w:tc>
        <w:tc>
          <w:tcPr>
            <w:tcW w:w="1669"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Examples that achieve aspects of the Performance Outcomes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2A3213" w:rsidRDefault="00AD3631" w:rsidP="00AD363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D3631" w:rsidRPr="008B6E1B" w:rsidRDefault="00AD3631" w:rsidP="00AD3631">
            <w:pPr>
              <w:pStyle w:val="ListParagraph"/>
              <w:numPr>
                <w:ilvl w:val="0"/>
                <w:numId w:val="3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0366C" w:rsidRPr="00AD3631" w:rsidTr="0030366C">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0366C" w:rsidRPr="00AD3631" w:rsidRDefault="0030366C" w:rsidP="003036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D3631">
              <w:rPr>
                <w:rFonts w:ascii="Arial" w:eastAsia="Times New Roman" w:hAnsi="Arial" w:cs="Arial"/>
                <w:b/>
                <w:bCs/>
                <w:sz w:val="20"/>
                <w:szCs w:val="20"/>
                <w:lang w:eastAsia="en-AU"/>
              </w:rPr>
              <w:t>General</w:t>
            </w:r>
          </w:p>
        </w:tc>
      </w:tr>
      <w:tr w:rsidR="00AD3631" w:rsidRPr="00AD3631" w:rsidTr="00684836">
        <w:trPr>
          <w:trHeight w:val="34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are of an appropriate number, type, design, scale, height and location to:</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contribute to visual clutter or be overbearing or visually dominant;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complement the existing and future planned character and amenity of the area in which it is located;</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maintain a human scale and not detract from or interfere with the form and function of a pedestrian friendly environment;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be compatible with the surrounding streetscape and landscape. Advertising devices should be considered as another design element, which integrate with the architecture, scale, proportions and style of buildings, landscaping, structures and other Advertising devices located both within and surrounding the site; </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minimise any potential adverse impacts on adjoining sites, such as overshadowing or the loss of key views and view corridors;</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any cultural heritage values present on the site or those associated with a heritage site, item or object. </w:t>
            </w:r>
          </w:p>
        </w:tc>
        <w:tc>
          <w:tcPr>
            <w:tcW w:w="1669"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in the form of one or more of the following types:</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awning;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fence;</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freestanding;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projecting;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roof;</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wall/façade.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3"/>
            </w:tblGrid>
            <w:tr w:rsidR="00AD3631" w:rsidRPr="00AD3631" w:rsidTr="00AD3631">
              <w:trPr>
                <w:tblCellSpacing w:w="15" w:type="dxa"/>
              </w:trPr>
              <w:tc>
                <w:tcPr>
                  <w:tcW w:w="4538"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Refer to Planning scheme policy – Advertising devices (section 2) for guidance on satisfying the above criteria.</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19"/>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total combined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of all Advertising devices on the site complies with the following table: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33"/>
            </w:tblGrid>
            <w:tr w:rsidR="00AD3631" w:rsidRPr="00AD3631" w:rsidTr="00AD3631">
              <w:trPr>
                <w:tblCellSpacing w:w="15" w:type="dxa"/>
              </w:trPr>
              <w:tc>
                <w:tcPr>
                  <w:tcW w:w="4598"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The total combined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includes any existing Advertising devices located on the site.</w:t>
                  </w:r>
                </w:p>
              </w:tc>
            </w:tr>
            <w:tr w:rsidR="00AD3631" w:rsidRPr="00AD3631" w:rsidTr="00AD3631">
              <w:trPr>
                <w:trHeight w:val="2760"/>
                <w:tblCellSpacing w:w="15" w:type="dxa"/>
              </w:trPr>
              <w:tc>
                <w:tcPr>
                  <w:tcW w:w="4598"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lastRenderedPageBreak/>
                    <w:t>Note - For sign face area calculation purposes:</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Where Advertising devices feature 2 display faces with an internal angle of 45 degrees or less, only one of the display faces forms part of the maximum total sign face area calculation. </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feature 2 display faces with an internal angle greater than 45 degrees must calculate each display face as a separate sign face area. </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include more than 2 display faces must calculate the additional display faces as separate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w:t>
                  </w:r>
                </w:p>
              </w:tc>
            </w:tr>
          </w:tbl>
          <w:p w:rsidR="00AD3631" w:rsidRPr="00AD3631" w:rsidRDefault="00AD3631" w:rsidP="00AD3631">
            <w:pPr>
              <w:spacing w:before="100" w:beforeAutospacing="1" w:after="100" w:afterAutospacing="1" w:line="240" w:lineRule="auto"/>
              <w:rPr>
                <w:rFonts w:ascii="Arial" w:eastAsia="Times New Roman" w:hAnsi="Arial" w:cs="Arial"/>
                <w:vanish/>
                <w:sz w:val="20"/>
                <w:szCs w:val="20"/>
                <w:lang w:eastAsia="en-AU"/>
              </w:rPr>
            </w:pPr>
          </w:p>
          <w:tbl>
            <w:tblPr>
              <w:tblW w:w="4984" w:type="pct"/>
              <w:tblCellSpacing w:w="15" w:type="dxa"/>
              <w:tblInd w:w="8" w:type="dxa"/>
              <w:tblLayout w:type="fixed"/>
              <w:tblCellMar>
                <w:top w:w="30" w:type="dxa"/>
                <w:left w:w="30" w:type="dxa"/>
                <w:bottom w:w="30" w:type="dxa"/>
                <w:right w:w="30" w:type="dxa"/>
              </w:tblCellMar>
              <w:tblLook w:val="04A0" w:firstRow="1" w:lastRow="0" w:firstColumn="1" w:lastColumn="0" w:noHBand="0" w:noVBand="1"/>
              <w:tblDescription w:val=""/>
            </w:tblPr>
            <w:tblGrid>
              <w:gridCol w:w="5117"/>
            </w:tblGrid>
            <w:tr w:rsidR="00AD3631" w:rsidRPr="00AD3631" w:rsidTr="00AD3631">
              <w:trPr>
                <w:tblCellSpacing w:w="15" w:type="dxa"/>
              </w:trPr>
              <w:tc>
                <w:tcPr>
                  <w:tcW w:w="4994"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Refer to Planning scheme policy – Advertising devices (section 3) for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calculation.</w:t>
                  </w:r>
                </w:p>
              </w:tc>
            </w:tr>
          </w:tbl>
          <w:p w:rsidR="00AD3631" w:rsidRDefault="00AD3631"/>
          <w:tbl>
            <w:tblPr>
              <w:tblW w:w="4911" w:type="pct"/>
              <w:tblCellSpacing w:w="15"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766"/>
              <w:gridCol w:w="2260"/>
            </w:tblGrid>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22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Total combined </w:t>
                  </w:r>
                  <w:proofErr w:type="spellStart"/>
                  <w:r w:rsidRPr="00AD3631">
                    <w:rPr>
                      <w:rFonts w:ascii="Arial" w:eastAsia="Times New Roman" w:hAnsi="Arial" w:cs="Arial"/>
                      <w:b/>
                      <w:bCs/>
                      <w:sz w:val="20"/>
                      <w:szCs w:val="20"/>
                      <w:lang w:eastAsia="en-AU"/>
                    </w:rPr>
                    <w:t>signface</w:t>
                  </w:r>
                  <w:proofErr w:type="spellEnd"/>
                  <w:r w:rsidRPr="00AD3631">
                    <w:rPr>
                      <w:rFonts w:ascii="Arial" w:eastAsia="Times New Roman" w:hAnsi="Arial" w:cs="Arial"/>
                      <w:b/>
                      <w:bCs/>
                      <w:sz w:val="20"/>
                      <w:szCs w:val="20"/>
                      <w:lang w:eastAsia="en-AU"/>
                    </w:rPr>
                    <w:t xml:space="preserve"> area</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Urban living precinct – Local </w:t>
                  </w:r>
                  <w:r w:rsidRPr="00AD3631">
                    <w:rPr>
                      <w:rFonts w:ascii="Arial" w:eastAsia="Times New Roman" w:hAnsi="Arial" w:cs="Arial"/>
                      <w:sz w:val="20"/>
                      <w:szCs w:val="20"/>
                      <w:lang w:eastAsia="en-AU"/>
                    </w:rPr>
                    <w:lastRenderedPageBreak/>
                    <w:t>centre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AD3631">
                    <w:rPr>
                      <w:rFonts w:ascii="Arial" w:eastAsia="Times New Roman" w:hAnsi="Arial" w:cs="Arial"/>
                      <w:sz w:val="20"/>
                      <w:szCs w:val="20"/>
                      <w:lang w:eastAsia="en-AU"/>
                    </w:rPr>
                    <w:t>Woodfordia</w:t>
                  </w:r>
                  <w:proofErr w:type="spellEnd"/>
                  <w:r w:rsidRPr="00AD3631">
                    <w:rPr>
                      <w:rFonts w:ascii="Arial" w:eastAsia="Times New Roman" w:hAnsi="Arial" w:cs="Arial"/>
                      <w:sz w:val="20"/>
                      <w:szCs w:val="20"/>
                      <w:lang w:eastAsia="en-AU"/>
                    </w:rPr>
                    <w:t xml:space="preserve"> local plan – all precincts</w:t>
                  </w:r>
                </w:p>
              </w:tc>
              <w:tc>
                <w:tcPr>
                  <w:tcW w:w="2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29"/>
                  </w:tblGrid>
                  <w:tr w:rsidR="00AD3631" w:rsidRPr="00AD3631" w:rsidTr="00AD3631">
                    <w:trPr>
                      <w:tblCellSpacing w:w="15" w:type="dxa"/>
                    </w:trPr>
                    <w:tc>
                      <w:tcPr>
                        <w:tcW w:w="166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 if not on a lot identified on Overlay </w:t>
                  </w:r>
                  <w:r w:rsidRPr="00AD3631">
                    <w:rPr>
                      <w:rFonts w:ascii="Arial" w:eastAsia="Times New Roman" w:hAnsi="Arial" w:cs="Arial"/>
                      <w:sz w:val="20"/>
                      <w:szCs w:val="20"/>
                      <w:lang w:eastAsia="en-AU"/>
                    </w:rPr>
                    <w:lastRenderedPageBreak/>
                    <w:t xml:space="preserve">map – Community activities and neighbourhood hubs </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 Residential precinct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0.3m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5m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Rural residential - if not on a lot identified on Overlay map – </w:t>
                  </w:r>
                  <w:r w:rsidRPr="00AD3631">
                    <w:rPr>
                      <w:rFonts w:ascii="Arial" w:eastAsia="Times New Roman" w:hAnsi="Arial" w:cs="Arial"/>
                      <w:sz w:val="20"/>
                      <w:szCs w:val="20"/>
                      <w:lang w:eastAsia="en-AU"/>
                    </w:rPr>
                    <w:lastRenderedPageBreak/>
                    <w:t>Community activities and neighbourhood hubs</w:t>
                  </w:r>
                </w:p>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89"/>
                  </w:tblGrid>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Advertising devices that meet the following criteria are also excluded from the maximum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above.</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is located internal to the site and does not directly or </w:t>
                        </w:r>
                        <w:r w:rsidRPr="00AD3631">
                          <w:rPr>
                            <w:rFonts w:ascii="Arial" w:eastAsia="Times New Roman" w:hAnsi="Arial" w:cs="Arial"/>
                            <w:sz w:val="20"/>
                            <w:szCs w:val="20"/>
                            <w:lang w:eastAsia="en-AU"/>
                          </w:rPr>
                          <w:lastRenderedPageBreak/>
                          <w:t>immediately face towards:</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public road;</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residential property;</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any other public or private place.</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Township - Centre, Convenience and Industry precincts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10m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Safety of pedestrians, cyclists and motorists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995"/>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siting and design of Advertising devices does not pose a hazard or nuisance for pedestrians, cyclists and motorists by ensuring: </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site lines are not obstructed;</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all traffic signs and signals remain visible from all angles;</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passage of pedestrians, cyclists and motorists is not obstructed.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Illumination and movement of Advertising devices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40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An Advertising device incorporates illumination only where it is appropriate to its setting and does not detract from the amenity and character of the area in which it is located. Illumination must not create a hazard or nuisance for motorists and surrounding uses. </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illuminated only where located in the following zones:</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excluding Residential north and Residential south sub-precincts;</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 only;</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30"/>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an Advertising device is illuminated it meets the following criteria:</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by an internal light source or down light if externally lit;</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in the form of static lighting;</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lighting is not directed or reflected towards a residential property or public place.</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PO4</w:t>
            </w:r>
          </w:p>
          <w:p w:rsid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p w:rsidR="00684836" w:rsidRDefault="00684836" w:rsidP="00AD3631">
            <w:pPr>
              <w:spacing w:before="100" w:beforeAutospacing="1" w:after="100" w:afterAutospacing="1" w:line="240" w:lineRule="auto"/>
              <w:ind w:left="150" w:right="150"/>
              <w:rPr>
                <w:rFonts w:ascii="Arial" w:eastAsia="Times New Roman" w:hAnsi="Arial" w:cs="Arial"/>
                <w:sz w:val="20"/>
                <w:szCs w:val="20"/>
                <w:lang w:eastAsia="en-AU"/>
              </w:rPr>
            </w:pPr>
          </w:p>
          <w:p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Active frontage and casual surveillance</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placement of Advertising devices ensures active frontage and casual surveillance of the street is not adversely affected.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 - excluding Morayfield and Specialised centre precincts;</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Centre core, Mixed business and Civic sub-precincts only;</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zone – Centre precinct.</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devices visible or adjacent to a State-controlled road</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326"/>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do not adversely impact on the safety and efficiency of the State-controlled road.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Advertising devices visible from a State-controlled road complies with Department of Transport and Main Road's Roadside Advertising Guide (RAG). </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Township zone specific provisions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403"/>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located in the Township zone, Advertising devices reinforce the low key, country town character by being: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simple in shape and graphics;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similar in scale to the adjacent approved development;</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integrated into the design and elevation of the building;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dominating building facades and streetscapes;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traditional rather than modern styling.</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provided in accordance with Planning scheme policy – Advertising devices (section 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will:</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protect the fabric and setting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be consistent with the form, scale and style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utilise similar materials to those existing, or where this is not reasonable or practicable, neutral materials and finishes;</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incorporate complementary elements, detailing and ornamentation to those present on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retain public access where this is currently provided.</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4"/>
            </w:tblGrid>
            <w:tr w:rsidR="00AD3631" w:rsidRPr="00AD3631" w:rsidTr="00AD3631">
              <w:trPr>
                <w:tblCellSpacing w:w="15" w:type="dxa"/>
              </w:trPr>
              <w:tc>
                <w:tcPr>
                  <w:tcW w:w="4598"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PO9</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Demolition and removal is only considered where:</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limited demolition is performed in the course of repairs, maintenance or restoration; or</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demolition is performed following a catastrophic event which substantially destroys the building or object.</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rHeight w:val="227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PO10</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rHeight w:val="54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w:t>
            </w:r>
            <w:r w:rsidRPr="00AD3631">
              <w:rPr>
                <w:rFonts w:ascii="Arial" w:eastAsia="Times New Roman" w:hAnsi="Arial" w:cs="Arial"/>
                <w:sz w:val="20"/>
                <w:szCs w:val="20"/>
                <w:lang w:eastAsia="en-AU"/>
              </w:rPr>
              <w:lastRenderedPageBreak/>
              <w:t xml:space="preserve">health is required to demonstrate achievement of this performance outcome.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result in the removal of a significant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occur within 20m of a protected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pruning of a tree in accordance with Australian Standard AS 4373-2007 – Pruning of Amenity Trees.</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maintains the safety of people and property on a site and neighbouring sites from landslides;</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the long-term stability of the site considering the full nature and end use of the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site stability during all phases of construction and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earthworks exceeding 50m</w:t>
            </w:r>
            <w:r w:rsidRPr="00AD3631">
              <w:rPr>
                <w:rFonts w:ascii="Arial" w:eastAsia="Times New Roman" w:hAnsi="Arial" w:cs="Arial"/>
                <w:sz w:val="20"/>
                <w:szCs w:val="20"/>
                <w:vertAlign w:val="superscript"/>
                <w:lang w:eastAsia="en-AU"/>
              </w:rPr>
              <w:t>3</w:t>
            </w:r>
            <w:r w:rsidRPr="00AD3631">
              <w:rPr>
                <w:rFonts w:ascii="Arial" w:eastAsia="Times New Roman" w:hAnsi="Arial" w:cs="Arial"/>
                <w:sz w:val="20"/>
                <w:szCs w:val="20"/>
                <w:lang w:eastAsia="en-AU"/>
              </w:rPr>
              <w:t xml:space="preserve">; </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cut and fill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any retaining wall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redirect or alter the existing flow of surface or groundwater.</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the risk to persons from overland flow;</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increase the potential for damage from overland flow either on the premises or </w:t>
            </w:r>
            <w:r w:rsidRPr="00AD3631">
              <w:rPr>
                <w:rFonts w:ascii="Arial" w:eastAsia="Times New Roman" w:hAnsi="Arial" w:cs="Arial"/>
                <w:sz w:val="20"/>
                <w:szCs w:val="20"/>
                <w:lang w:eastAsia="en-AU"/>
              </w:rPr>
              <w:lastRenderedPageBreak/>
              <w:t xml:space="preserve">other premises, public land, watercourses, roads or infrastructure.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684836">
                    <w:rPr>
                      <w:rFonts w:ascii="Arial" w:eastAsia="Times New Roman" w:hAnsi="Arial" w:cs="Arial"/>
                      <w:sz w:val="18"/>
                      <w:szCs w:val="20"/>
                      <w:lang w:eastAsia="en-AU"/>
                    </w:rPr>
                    <w:t>upstream, downstream or surrounding premises</w:t>
                  </w:r>
                  <w:proofErr w:type="gramEnd"/>
                  <w:r w:rsidRPr="00684836">
                    <w:rPr>
                      <w:rFonts w:ascii="Arial" w:eastAsia="Times New Roman" w:hAnsi="Arial" w:cs="Arial"/>
                      <w:sz w:val="18"/>
                      <w:szCs w:val="20"/>
                      <w:lang w:eastAsia="en-AU"/>
                    </w:rPr>
                    <w:t xml:space="preserve">. </w:t>
                  </w:r>
                </w:p>
              </w:tc>
            </w:tr>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Note - Reporting to be prepared in accordance with Planning scheme policy – Flood hazard, Coastal hazard and Overland flow.</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directly, indirectly or cumulatively cause any increase in overland flow velocity or level;</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which is not in a Rural zone that an overland flow paths and drainage infrastructure is </w:t>
            </w:r>
            <w:r w:rsidRPr="00AD3631">
              <w:rPr>
                <w:rFonts w:ascii="Arial" w:eastAsia="Times New Roman" w:hAnsi="Arial" w:cs="Arial"/>
                <w:sz w:val="20"/>
                <w:szCs w:val="20"/>
                <w:lang w:eastAsia="en-AU"/>
              </w:rPr>
              <w:lastRenderedPageBreak/>
              <w:t xml:space="preserve">provided to convey overland flow from a road or public open space area away from a private lot. </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protects the conveyance of overland flow such that an easement for drainage purposes is provided over:</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stormwater pipe if the nominal pipe diameter exceeds 300mm;</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overland flow path where it crosses more than one premises;</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Refer to Planning scheme policy - Integrated design for details and examples.</w:t>
                  </w:r>
                </w:p>
              </w:tc>
            </w:tr>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Stormwater Drainage easement dimensions are provided in accordance with Section 3.8.5 of QUDM.</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bl>
    <w:p w:rsidR="00AD3631" w:rsidRPr="00AD3631" w:rsidRDefault="00AD3631" w:rsidP="00AD3631">
      <w:pPr>
        <w:shd w:val="clear" w:color="auto" w:fill="FFFFFF"/>
        <w:spacing w:before="100" w:beforeAutospacing="1" w:after="100" w:afterAutospacing="1" w:line="240" w:lineRule="auto"/>
        <w:jc w:val="center"/>
        <w:rPr>
          <w:rFonts w:ascii="Arial" w:eastAsia="Times New Roman" w:hAnsi="Arial" w:cs="Arial"/>
          <w:sz w:val="20"/>
          <w:szCs w:val="20"/>
          <w:lang w:eastAsia="en-AU"/>
        </w:rPr>
      </w:pPr>
    </w:p>
    <w:tbl>
      <w:tblPr>
        <w:tblW w:w="4985"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827"/>
        <w:gridCol w:w="12525"/>
      </w:tblGrid>
      <w:tr w:rsidR="00AD3631" w:rsidRPr="00AD3631" w:rsidTr="00AD3631">
        <w:trPr>
          <w:tblCellSpacing w:w="15" w:type="dxa"/>
          <w:jc w:val="center"/>
        </w:trPr>
        <w:tc>
          <w:tcPr>
            <w:tcW w:w="15291" w:type="dxa"/>
            <w:gridSpan w:val="2"/>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Table 9.4.4.4 </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type</w:t>
            </w:r>
          </w:p>
        </w:tc>
        <w:tc>
          <w:tcPr>
            <w:tcW w:w="12479"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requirements</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Awning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awning Advertising device:</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not located above the awning;</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under awning sign per tenancy;</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has a minimum clearance of 2.4m between the lowest point of the advertising device and the footpath/ground level (Refer to Figure – Awning advertising device (a)); </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attached to the awning fascia, has a maximum thickness of 100mm;</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extend beyond the awning edges shown on Figure - Awning advertising device (a) and Figure – Awning advertising device (b).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(a)</w:t>
            </w:r>
            <w:r w:rsidRPr="00AD3631">
              <w:rPr>
                <w:rFonts w:ascii="Arial" w:eastAsia="Times New Roman" w:hAnsi="Arial" w:cs="Arial"/>
                <w:sz w:val="20"/>
                <w:szCs w:val="20"/>
                <w:lang w:eastAsia="en-AU"/>
              </w:rPr>
              <w:t xml:space="preserve"> </w:t>
            </w:r>
            <w:hyperlink r:id="rId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lastRenderedPageBreak/>
              <w:drawing>
                <wp:inline distT="0" distB="0" distL="0" distR="0" wp14:anchorId="0DDD36E8" wp14:editId="7A900CD6">
                  <wp:extent cx="2723398" cy="2343150"/>
                  <wp:effectExtent l="0" t="0" r="1270" b="0"/>
                  <wp:docPr id="8" name="Picture 8" descr="Awn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advertising device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142" cy="2345510"/>
                          </a:xfrm>
                          <a:prstGeom prst="rect">
                            <a:avLst/>
                          </a:prstGeom>
                          <a:noFill/>
                          <a:ln>
                            <a:noFill/>
                          </a:ln>
                        </pic:spPr>
                      </pic:pic>
                    </a:graphicData>
                  </a:graphic>
                </wp:inline>
              </w:drawing>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(b)</w:t>
            </w:r>
            <w:r w:rsidRPr="00AD3631">
              <w:rPr>
                <w:rFonts w:ascii="Arial" w:eastAsia="Times New Roman" w:hAnsi="Arial" w:cs="Arial"/>
                <w:sz w:val="20"/>
                <w:szCs w:val="20"/>
                <w:lang w:eastAsia="en-AU"/>
              </w:rPr>
              <w:t xml:space="preserve"> </w:t>
            </w:r>
            <w:hyperlink r:id="rId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349748B" wp14:editId="3408A348">
                  <wp:extent cx="2743614" cy="2143125"/>
                  <wp:effectExtent l="0" t="0" r="0" b="0"/>
                  <wp:docPr id="7" name="Picture 7" descr="Awn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advertising device (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959" cy="2145738"/>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Fence</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fence Advertising device:</w:t>
            </w:r>
          </w:p>
          <w:p w:rsidR="00AD3631" w:rsidRP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has a maximum thickness of 100mm;</w:t>
            </w:r>
          </w:p>
          <w:p w:rsid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fence to which it is attached (Refer to Figure – Fence advertising device).</w:t>
            </w:r>
          </w:p>
          <w:p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Figure - Fence advertising device</w:t>
            </w:r>
            <w:r w:rsidRPr="00AD3631">
              <w:rPr>
                <w:rFonts w:ascii="Arial" w:eastAsia="Times New Roman" w:hAnsi="Arial" w:cs="Arial"/>
                <w:sz w:val="20"/>
                <w:szCs w:val="20"/>
                <w:lang w:eastAsia="en-AU"/>
              </w:rPr>
              <w:t xml:space="preserve"> </w:t>
            </w:r>
            <w:hyperlink r:id="rId1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4A6CD022" wp14:editId="4B798410">
                  <wp:extent cx="2524125" cy="1962150"/>
                  <wp:effectExtent l="0" t="0" r="9525" b="0"/>
                  <wp:docPr id="6" name="Picture 6" descr="Fenc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nce advertising de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rHeight w:val="12330"/>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Freestanding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freestanding Advertising device: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 entrance, with a maximum of 2 per frontage;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setback a minimum 1m from the front boundary and 3m from the side and rear boundaries of the site;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exceed the maximum height for the zone in which it is located as specified below:</w:t>
            </w:r>
          </w:p>
          <w:tbl>
            <w:tblPr>
              <w:tblW w:w="12268"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8157"/>
              <w:gridCol w:w="4111"/>
            </w:tblGrid>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406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Height in metres (m)</w:t>
                  </w: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Emerging community, General residential - if on a lot identified on Overlay map –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on a lot identifies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AD3631">
                    <w:rPr>
                      <w:rFonts w:ascii="Arial" w:eastAsia="Times New Roman" w:hAnsi="Arial" w:cs="Arial"/>
                      <w:sz w:val="20"/>
                      <w:szCs w:val="20"/>
                      <w:lang w:eastAsia="en-AU"/>
                    </w:rPr>
                    <w:t>Woodfordia</w:t>
                  </w:r>
                  <w:proofErr w:type="spellEnd"/>
                  <w:r w:rsidRPr="00AD3631">
                    <w:rPr>
                      <w:rFonts w:ascii="Arial" w:eastAsia="Times New Roman" w:hAnsi="Arial" w:cs="Arial"/>
                      <w:sz w:val="20"/>
                      <w:szCs w:val="20"/>
                      <w:lang w:eastAsia="en-AU"/>
                    </w:rPr>
                    <w:t xml:space="preserve"> local plan</w:t>
                  </w:r>
                </w:p>
              </w:tc>
              <w:tc>
                <w:tcPr>
                  <w:tcW w:w="406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6m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76"/>
                  </w:tblGrid>
                  <w:tr w:rsidR="00AD3631" w:rsidRPr="00AD3631" w:rsidTr="00AD3631">
                    <w:trPr>
                      <w:tblCellSpacing w:w="15" w:type="dxa"/>
                    </w:trPr>
                    <w:tc>
                      <w:tcPr>
                        <w:tcW w:w="386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Rural residential – if not on a lot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4066"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6"/>
                  </w:tblGrid>
                  <w:tr w:rsidR="00AD3631" w:rsidRPr="00AD3631" w:rsidTr="00AD3631">
                    <w:trPr>
                      <w:tblCellSpacing w:w="15" w:type="dxa"/>
                    </w:trPr>
                    <w:tc>
                      <w:tcPr>
                        <w:tcW w:w="392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Projecting</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projecting Advertising device:</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under 2.4m high clearance to any footpath, has a maximum projection of 300mm (Refer to Figure – Projecting advertising device (a)); </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2.4m or greater high clearance to any footpath, has a maximum projection setback a minimum of 1.5m from the kerb line (Refer to Figure – Projecting advertising device), except where located in the Township zone – Centre precinct, the maximum projection setback is a minimum 600mm from the kerb line (Refer to Figure – Township zone projecting advertising device).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(a)</w:t>
            </w:r>
            <w:r w:rsidRPr="00AD3631">
              <w:rPr>
                <w:rFonts w:ascii="Arial" w:eastAsia="Times New Roman" w:hAnsi="Arial" w:cs="Arial"/>
                <w:sz w:val="20"/>
                <w:szCs w:val="20"/>
                <w:lang w:eastAsia="en-AU"/>
              </w:rPr>
              <w:t xml:space="preserve"> </w:t>
            </w:r>
            <w:hyperlink r:id="rId13"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FCC403E" wp14:editId="29C9499D">
                  <wp:extent cx="2524125" cy="1971675"/>
                  <wp:effectExtent l="0" t="0" r="9525" b="9525"/>
                  <wp:docPr id="5" name="Picture 5" descr="Project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ing advertising device (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971675"/>
                          </a:xfrm>
                          <a:prstGeom prst="rect">
                            <a:avLst/>
                          </a:prstGeom>
                          <a:noFill/>
                          <a:ln>
                            <a:noFill/>
                          </a:ln>
                        </pic:spPr>
                      </pic:pic>
                    </a:graphicData>
                  </a:graphic>
                </wp:inline>
              </w:drawing>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Township zone projecting advertising device</w:t>
            </w:r>
            <w:r w:rsidRPr="00AD3631">
              <w:rPr>
                <w:rFonts w:ascii="Arial" w:eastAsia="Times New Roman" w:hAnsi="Arial" w:cs="Arial"/>
                <w:sz w:val="20"/>
                <w:szCs w:val="20"/>
                <w:lang w:eastAsia="en-AU"/>
              </w:rPr>
              <w:t xml:space="preserve"> </w:t>
            </w:r>
            <w:hyperlink r:id="rId15"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2A19E3A1" wp14:editId="3E3E57ED">
                  <wp:extent cx="2524125" cy="1962150"/>
                  <wp:effectExtent l="0" t="0" r="9525" b="0"/>
                  <wp:docPr id="4" name="Picture 4" descr="Township zone projecting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nship zone projecting advertising devi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p w:rsidR="00AD3631" w:rsidRPr="00AD3631" w:rsidRDefault="00AD3631" w:rsidP="00AD363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does not extend beyond the edges of the wall/façade to which it is attached as shown on </w:t>
            </w:r>
            <w:proofErr w:type="gramStart"/>
            <w:r w:rsidRPr="00AD3631">
              <w:rPr>
                <w:rFonts w:ascii="Arial" w:eastAsia="Times New Roman" w:hAnsi="Arial" w:cs="Arial"/>
                <w:sz w:val="20"/>
                <w:szCs w:val="20"/>
                <w:lang w:eastAsia="en-AU"/>
              </w:rPr>
              <w:t>Figure  -</w:t>
            </w:r>
            <w:proofErr w:type="gramEnd"/>
            <w:r w:rsidRPr="00AD3631">
              <w:rPr>
                <w:rFonts w:ascii="Arial" w:eastAsia="Times New Roman" w:hAnsi="Arial" w:cs="Arial"/>
                <w:sz w:val="20"/>
                <w:szCs w:val="20"/>
                <w:lang w:eastAsia="en-AU"/>
              </w:rPr>
              <w:t xml:space="preserve"> Projecting advertising device (b).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(b)</w:t>
            </w:r>
            <w:r w:rsidRPr="00AD3631">
              <w:rPr>
                <w:rFonts w:ascii="Arial" w:eastAsia="Times New Roman" w:hAnsi="Arial" w:cs="Arial"/>
                <w:sz w:val="20"/>
                <w:szCs w:val="20"/>
                <w:lang w:eastAsia="en-AU"/>
              </w:rPr>
              <w:t xml:space="preserve"> </w:t>
            </w:r>
            <w:hyperlink r:id="rId1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78C00107" wp14:editId="78F452E4">
                  <wp:extent cx="2524125" cy="2152650"/>
                  <wp:effectExtent l="0" t="0" r="9525" b="0"/>
                  <wp:docPr id="3" name="Picture 3" descr="Project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ing advertising device (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Roof</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roof Advertising device: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protrude from the surface of the roof or parapet to which it is attached by more than 100mm;</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roof or parapet to which it is attached (Refer to Figure – Roof advertising device).</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Roof advertising device</w:t>
            </w:r>
            <w:r w:rsidRPr="00AD3631">
              <w:rPr>
                <w:rFonts w:ascii="Arial" w:eastAsia="Times New Roman" w:hAnsi="Arial" w:cs="Arial"/>
                <w:sz w:val="20"/>
                <w:szCs w:val="20"/>
                <w:lang w:eastAsia="en-AU"/>
              </w:rPr>
              <w:t xml:space="preserve"> </w:t>
            </w:r>
            <w:hyperlink r:id="rId1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501CDDA7" wp14:editId="7E702E00">
                  <wp:extent cx="2524125" cy="1962150"/>
                  <wp:effectExtent l="0" t="0" r="9525" b="0"/>
                  <wp:docPr id="2" name="Picture 2" descr="Roof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f advertising devi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Wall/Facade</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wall/façade Advertising device:</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has a maximum thickness of 100mm;</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the edges of the wall/façade shown on Figure – Wall/façade advertising device.</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Wall/Facade advertising device</w:t>
            </w:r>
            <w:r w:rsidRPr="00AD3631">
              <w:rPr>
                <w:rFonts w:ascii="Arial" w:eastAsia="Times New Roman" w:hAnsi="Arial" w:cs="Arial"/>
                <w:sz w:val="20"/>
                <w:szCs w:val="20"/>
                <w:lang w:eastAsia="en-AU"/>
              </w:rPr>
              <w:t xml:space="preserve"> </w:t>
            </w:r>
            <w:hyperlink r:id="rId2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bookmarkStart w:id="0" w:name="_GoBack"/>
            <w:r w:rsidRPr="00AD3631">
              <w:rPr>
                <w:rFonts w:ascii="Arial" w:eastAsia="Times New Roman" w:hAnsi="Arial" w:cs="Arial"/>
                <w:noProof/>
                <w:sz w:val="20"/>
                <w:szCs w:val="20"/>
                <w:lang w:eastAsia="en-AU"/>
              </w:rPr>
              <w:drawing>
                <wp:inline distT="0" distB="0" distL="0" distR="0" wp14:anchorId="76F7094C" wp14:editId="7E2CAE0B">
                  <wp:extent cx="2524125" cy="2152650"/>
                  <wp:effectExtent l="0" t="0" r="9525" b="0"/>
                  <wp:docPr id="1" name="Picture 1" descr="Wall/Facad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l/Facade advertising devi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bookmarkEnd w:id="0"/>
          </w:p>
        </w:tc>
      </w:tr>
    </w:tbl>
    <w:p w:rsidR="00AD3631" w:rsidRPr="00AD3631" w:rsidRDefault="00AD3631" w:rsidP="00AD3631">
      <w:pPr>
        <w:shd w:val="clear" w:color="auto" w:fill="FFFFFF"/>
        <w:spacing w:before="100" w:beforeAutospacing="1" w:after="100" w:afterAutospacing="1" w:line="240" w:lineRule="auto"/>
        <w:rPr>
          <w:rFonts w:ascii="Arial" w:eastAsia="Times New Roman" w:hAnsi="Arial" w:cs="Arial"/>
          <w:sz w:val="20"/>
          <w:szCs w:val="20"/>
          <w:lang w:eastAsia="en-AU"/>
        </w:rPr>
      </w:pPr>
    </w:p>
    <w:sectPr w:rsidR="00AD3631" w:rsidRPr="00AD3631" w:rsidSect="00AD3631">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BF9" w:rsidRDefault="00BB0BF9" w:rsidP="00236964">
      <w:pPr>
        <w:spacing w:after="0" w:line="240" w:lineRule="auto"/>
      </w:pPr>
      <w:r>
        <w:separator/>
      </w:r>
    </w:p>
  </w:endnote>
  <w:endnote w:type="continuationSeparator" w:id="0">
    <w:p w:rsidR="00BB0BF9" w:rsidRDefault="00BB0BF9" w:rsidP="0023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64" w:rsidRPr="00236964" w:rsidRDefault="00236964">
    <w:pPr>
      <w:pStyle w:val="Footer"/>
      <w:rPr>
        <w:rFonts w:ascii="Arial" w:hAnsi="Arial" w:cs="Arial"/>
        <w:i/>
        <w:sz w:val="20"/>
        <w:szCs w:val="20"/>
      </w:rPr>
    </w:pPr>
    <w:r w:rsidRPr="002C7A6D">
      <w:rPr>
        <w:rFonts w:ascii="Arial" w:hAnsi="Arial" w:cs="Arial"/>
        <w:i/>
        <w:sz w:val="20"/>
        <w:szCs w:val="20"/>
      </w:rPr>
      <w:t xml:space="preserve">MBRC Planning Scheme </w:t>
    </w:r>
    <w:r w:rsidR="00FE564F">
      <w:rPr>
        <w:rFonts w:ascii="Arial" w:hAnsi="Arial" w:cs="Arial"/>
        <w:i/>
        <w:sz w:val="20"/>
        <w:szCs w:val="20"/>
      </w:rPr>
      <w:t xml:space="preserve">Version 4 </w:t>
    </w:r>
    <w:r w:rsidRPr="002C7A6D">
      <w:rPr>
        <w:rFonts w:ascii="Arial" w:hAnsi="Arial" w:cs="Arial"/>
        <w:i/>
        <w:sz w:val="20"/>
        <w:szCs w:val="20"/>
      </w:rPr>
      <w:t xml:space="preserve">- Other development codes - </w:t>
    </w:r>
    <w:r>
      <w:rPr>
        <w:rFonts w:ascii="Arial" w:hAnsi="Arial" w:cs="Arial"/>
        <w:i/>
        <w:sz w:val="20"/>
        <w:szCs w:val="20"/>
      </w:rPr>
      <w:t>Advertising devices</w:t>
    </w:r>
    <w:r w:rsidRPr="002C7A6D">
      <w:rPr>
        <w:rFonts w:ascii="Arial" w:hAnsi="Arial" w:cs="Arial"/>
        <w:i/>
        <w:sz w:val="20"/>
        <w:szCs w:val="20"/>
      </w:rPr>
      <w:t xml:space="preserve"> code - Assessable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30366C">
          <w:rPr>
            <w:rFonts w:ascii="Arial" w:hAnsi="Arial" w:cs="Arial"/>
            <w:noProof/>
            <w:sz w:val="20"/>
            <w:szCs w:val="20"/>
          </w:rPr>
          <w:t>9</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BF9" w:rsidRDefault="00BB0BF9" w:rsidP="00236964">
      <w:pPr>
        <w:spacing w:after="0" w:line="240" w:lineRule="auto"/>
      </w:pPr>
      <w:r>
        <w:separator/>
      </w:r>
    </w:p>
  </w:footnote>
  <w:footnote w:type="continuationSeparator" w:id="0">
    <w:p w:rsidR="00BB0BF9" w:rsidRDefault="00BB0BF9" w:rsidP="0023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95B"/>
    <w:multiLevelType w:val="multilevel"/>
    <w:tmpl w:val="44A4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E85"/>
    <w:multiLevelType w:val="multilevel"/>
    <w:tmpl w:val="9DBA8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4C0A52"/>
    <w:multiLevelType w:val="multilevel"/>
    <w:tmpl w:val="270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8C029CC"/>
    <w:multiLevelType w:val="multilevel"/>
    <w:tmpl w:val="71A06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436D5A"/>
    <w:multiLevelType w:val="multilevel"/>
    <w:tmpl w:val="CA12C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B301B0"/>
    <w:multiLevelType w:val="multilevel"/>
    <w:tmpl w:val="B3289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973ADF"/>
    <w:multiLevelType w:val="multilevel"/>
    <w:tmpl w:val="98AEF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577135"/>
    <w:multiLevelType w:val="multilevel"/>
    <w:tmpl w:val="8E70C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3078E9"/>
    <w:multiLevelType w:val="multilevel"/>
    <w:tmpl w:val="94061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335C6A"/>
    <w:multiLevelType w:val="multilevel"/>
    <w:tmpl w:val="1284C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A40070"/>
    <w:multiLevelType w:val="multilevel"/>
    <w:tmpl w:val="F056B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9972DA"/>
    <w:multiLevelType w:val="multilevel"/>
    <w:tmpl w:val="A61CF8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75707E"/>
    <w:multiLevelType w:val="multilevel"/>
    <w:tmpl w:val="C310C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020B53"/>
    <w:multiLevelType w:val="multilevel"/>
    <w:tmpl w:val="418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B2F2D"/>
    <w:multiLevelType w:val="multilevel"/>
    <w:tmpl w:val="01D2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1399E"/>
    <w:multiLevelType w:val="multilevel"/>
    <w:tmpl w:val="4F32C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9854AC"/>
    <w:multiLevelType w:val="multilevel"/>
    <w:tmpl w:val="360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D235F"/>
    <w:multiLevelType w:val="multilevel"/>
    <w:tmpl w:val="6A3AA8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1854271"/>
    <w:multiLevelType w:val="multilevel"/>
    <w:tmpl w:val="46A6C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C9153A"/>
    <w:multiLevelType w:val="multilevel"/>
    <w:tmpl w:val="0E1CA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3C5425"/>
    <w:multiLevelType w:val="multilevel"/>
    <w:tmpl w:val="A7480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A96788"/>
    <w:multiLevelType w:val="multilevel"/>
    <w:tmpl w:val="0F6C1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C329BB"/>
    <w:multiLevelType w:val="multilevel"/>
    <w:tmpl w:val="594C1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15614A"/>
    <w:multiLevelType w:val="multilevel"/>
    <w:tmpl w:val="41BC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B27C5"/>
    <w:multiLevelType w:val="multilevel"/>
    <w:tmpl w:val="FB0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AE2D2A"/>
    <w:multiLevelType w:val="multilevel"/>
    <w:tmpl w:val="D8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45D90"/>
    <w:multiLevelType w:val="multilevel"/>
    <w:tmpl w:val="3D82F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5795F"/>
    <w:multiLevelType w:val="multilevel"/>
    <w:tmpl w:val="0680B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0E7A34"/>
    <w:multiLevelType w:val="multilevel"/>
    <w:tmpl w:val="EEF24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E17C9"/>
    <w:multiLevelType w:val="multilevel"/>
    <w:tmpl w:val="7080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630F2"/>
    <w:multiLevelType w:val="multilevel"/>
    <w:tmpl w:val="01FC6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6B238C"/>
    <w:multiLevelType w:val="multilevel"/>
    <w:tmpl w:val="E1028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C7E35"/>
    <w:multiLevelType w:val="multilevel"/>
    <w:tmpl w:val="054A6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36A7969"/>
    <w:multiLevelType w:val="multilevel"/>
    <w:tmpl w:val="F8E05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13"/>
  </w:num>
  <w:num w:numId="3">
    <w:abstractNumId w:val="14"/>
  </w:num>
  <w:num w:numId="4">
    <w:abstractNumId w:val="15"/>
  </w:num>
  <w:num w:numId="5">
    <w:abstractNumId w:val="24"/>
  </w:num>
  <w:num w:numId="6">
    <w:abstractNumId w:val="26"/>
  </w:num>
  <w:num w:numId="7">
    <w:abstractNumId w:val="0"/>
  </w:num>
  <w:num w:numId="8">
    <w:abstractNumId w:val="32"/>
  </w:num>
  <w:num w:numId="9">
    <w:abstractNumId w:val="33"/>
  </w:num>
  <w:num w:numId="10">
    <w:abstractNumId w:val="2"/>
  </w:num>
  <w:num w:numId="11">
    <w:abstractNumId w:val="21"/>
  </w:num>
  <w:num w:numId="12">
    <w:abstractNumId w:val="18"/>
  </w:num>
  <w:num w:numId="13">
    <w:abstractNumId w:val="7"/>
  </w:num>
  <w:num w:numId="14">
    <w:abstractNumId w:val="12"/>
  </w:num>
  <w:num w:numId="15">
    <w:abstractNumId w:val="5"/>
  </w:num>
  <w:num w:numId="16">
    <w:abstractNumId w:val="6"/>
  </w:num>
  <w:num w:numId="17">
    <w:abstractNumId w:val="19"/>
  </w:num>
  <w:num w:numId="18">
    <w:abstractNumId w:val="16"/>
  </w:num>
  <w:num w:numId="19">
    <w:abstractNumId w:val="1"/>
  </w:num>
  <w:num w:numId="20">
    <w:abstractNumId w:val="4"/>
  </w:num>
  <w:num w:numId="21">
    <w:abstractNumId w:val="28"/>
  </w:num>
  <w:num w:numId="22">
    <w:abstractNumId w:val="22"/>
  </w:num>
  <w:num w:numId="23">
    <w:abstractNumId w:val="8"/>
  </w:num>
  <w:num w:numId="24">
    <w:abstractNumId w:val="10"/>
  </w:num>
  <w:num w:numId="25">
    <w:abstractNumId w:val="31"/>
  </w:num>
  <w:num w:numId="26">
    <w:abstractNumId w:val="34"/>
  </w:num>
  <w:num w:numId="27">
    <w:abstractNumId w:val="27"/>
  </w:num>
  <w:num w:numId="28">
    <w:abstractNumId w:val="30"/>
  </w:num>
  <w:num w:numId="29">
    <w:abstractNumId w:val="29"/>
  </w:num>
  <w:num w:numId="30">
    <w:abstractNumId w:val="11"/>
  </w:num>
  <w:num w:numId="31">
    <w:abstractNumId w:val="23"/>
  </w:num>
  <w:num w:numId="32">
    <w:abstractNumId w:val="9"/>
  </w:num>
  <w:num w:numId="33">
    <w:abstractNumId w:val="25"/>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31"/>
    <w:rsid w:val="00122EC8"/>
    <w:rsid w:val="00236964"/>
    <w:rsid w:val="0030366C"/>
    <w:rsid w:val="00622E87"/>
    <w:rsid w:val="00630315"/>
    <w:rsid w:val="00684836"/>
    <w:rsid w:val="00832188"/>
    <w:rsid w:val="00A312DE"/>
    <w:rsid w:val="00AD3631"/>
    <w:rsid w:val="00BB0BF9"/>
    <w:rsid w:val="00E220E9"/>
    <w:rsid w:val="00FE5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4D53"/>
  <w15:chartTrackingRefBased/>
  <w15:docId w15:val="{5CA1703C-9316-4E78-A0BA-C1B3A412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631"/>
    <w:rPr>
      <w:b/>
      <w:bCs/>
    </w:rPr>
  </w:style>
  <w:style w:type="character" w:customStyle="1" w:styleId="newwindow">
    <w:name w:val="newwindow"/>
    <w:basedOn w:val="DefaultParagraphFont"/>
    <w:rsid w:val="00AD3631"/>
  </w:style>
  <w:style w:type="paragraph" w:styleId="ListParagraph">
    <w:name w:val="List Paragraph"/>
    <w:basedOn w:val="Normal"/>
    <w:uiPriority w:val="34"/>
    <w:qFormat/>
    <w:rsid w:val="00AD3631"/>
    <w:pPr>
      <w:spacing w:after="200" w:line="276" w:lineRule="auto"/>
      <w:ind w:left="720"/>
      <w:contextualSpacing/>
    </w:pPr>
    <w:rPr>
      <w:rFonts w:ascii="Arial" w:hAnsi="Arial"/>
    </w:rPr>
  </w:style>
  <w:style w:type="paragraph" w:styleId="Header">
    <w:name w:val="header"/>
    <w:basedOn w:val="Normal"/>
    <w:link w:val="HeaderChar"/>
    <w:uiPriority w:val="99"/>
    <w:unhideWhenUsed/>
    <w:rsid w:val="0023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64"/>
  </w:style>
  <w:style w:type="paragraph" w:styleId="Footer">
    <w:name w:val="footer"/>
    <w:basedOn w:val="Normal"/>
    <w:link w:val="FooterChar"/>
    <w:uiPriority w:val="99"/>
    <w:unhideWhenUsed/>
    <w:rsid w:val="0023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64"/>
  </w:style>
  <w:style w:type="paragraph" w:styleId="BalloonText">
    <w:name w:val="Balloon Text"/>
    <w:basedOn w:val="Normal"/>
    <w:link w:val="BalloonTextChar"/>
    <w:uiPriority w:val="99"/>
    <w:semiHidden/>
    <w:unhideWhenUsed/>
    <w:rsid w:val="0062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19478">
      <w:bodyDiv w:val="1"/>
      <w:marLeft w:val="0"/>
      <w:marRight w:val="0"/>
      <w:marTop w:val="0"/>
      <w:marBottom w:val="0"/>
      <w:divBdr>
        <w:top w:val="none" w:sz="0" w:space="0" w:color="auto"/>
        <w:left w:val="none" w:sz="0" w:space="0" w:color="auto"/>
        <w:bottom w:val="none" w:sz="0" w:space="0" w:color="auto"/>
        <w:right w:val="none" w:sz="0" w:space="0" w:color="auto"/>
      </w:divBdr>
      <w:divsChild>
        <w:div w:id="340161262">
          <w:marLeft w:val="0"/>
          <w:marRight w:val="0"/>
          <w:marTop w:val="0"/>
          <w:marBottom w:val="0"/>
          <w:divBdr>
            <w:top w:val="none" w:sz="0" w:space="0" w:color="auto"/>
            <w:left w:val="none" w:sz="0" w:space="0" w:color="auto"/>
            <w:bottom w:val="none" w:sz="0" w:space="0" w:color="auto"/>
            <w:right w:val="none" w:sz="0" w:space="0" w:color="auto"/>
          </w:divBdr>
          <w:divsChild>
            <w:div w:id="2026904829">
              <w:marLeft w:val="0"/>
              <w:marRight w:val="0"/>
              <w:marTop w:val="150"/>
              <w:marBottom w:val="0"/>
              <w:divBdr>
                <w:top w:val="none" w:sz="0" w:space="0" w:color="auto"/>
                <w:left w:val="none" w:sz="0" w:space="0" w:color="auto"/>
                <w:bottom w:val="none" w:sz="0" w:space="0" w:color="auto"/>
                <w:right w:val="none" w:sz="0" w:space="0" w:color="auto"/>
              </w:divBdr>
              <w:divsChild>
                <w:div w:id="2138991111">
                  <w:marLeft w:val="3300"/>
                  <w:marRight w:val="0"/>
                  <w:marTop w:val="0"/>
                  <w:marBottom w:val="0"/>
                  <w:divBdr>
                    <w:top w:val="none" w:sz="0" w:space="0" w:color="auto"/>
                    <w:left w:val="none" w:sz="0" w:space="0" w:color="auto"/>
                    <w:bottom w:val="none" w:sz="0" w:space="0" w:color="auto"/>
                    <w:right w:val="none" w:sz="0" w:space="0" w:color="auto"/>
                  </w:divBdr>
                  <w:divsChild>
                    <w:div w:id="691564739">
                      <w:marLeft w:val="0"/>
                      <w:marRight w:val="0"/>
                      <w:marTop w:val="0"/>
                      <w:marBottom w:val="0"/>
                      <w:divBdr>
                        <w:top w:val="single" w:sz="6" w:space="7" w:color="A8A8A8"/>
                        <w:left w:val="single" w:sz="2" w:space="14" w:color="A8A8A8"/>
                        <w:bottom w:val="single" w:sz="6" w:space="7" w:color="A8A8A8"/>
                        <w:right w:val="single" w:sz="2" w:space="14" w:color="A8A8A8"/>
                      </w:divBdr>
                      <w:divsChild>
                        <w:div w:id="1752118193">
                          <w:marLeft w:val="0"/>
                          <w:marRight w:val="0"/>
                          <w:marTop w:val="0"/>
                          <w:marBottom w:val="0"/>
                          <w:divBdr>
                            <w:top w:val="none" w:sz="0" w:space="0" w:color="auto"/>
                            <w:left w:val="none" w:sz="0" w:space="0" w:color="auto"/>
                            <w:bottom w:val="none" w:sz="0" w:space="0" w:color="auto"/>
                            <w:right w:val="none" w:sz="0" w:space="0" w:color="auto"/>
                          </w:divBdr>
                          <w:divsChild>
                            <w:div w:id="1053625581">
                              <w:marLeft w:val="0"/>
                              <w:marRight w:val="0"/>
                              <w:marTop w:val="0"/>
                              <w:marBottom w:val="0"/>
                              <w:divBdr>
                                <w:top w:val="none" w:sz="0" w:space="0" w:color="auto"/>
                                <w:left w:val="none" w:sz="0" w:space="0" w:color="auto"/>
                                <w:bottom w:val="none" w:sz="0" w:space="0" w:color="auto"/>
                                <w:right w:val="none" w:sz="0" w:space="0" w:color="auto"/>
                              </w:divBdr>
                              <w:divsChild>
                                <w:div w:id="47191837">
                                  <w:marLeft w:val="0"/>
                                  <w:marRight w:val="0"/>
                                  <w:marTop w:val="0"/>
                                  <w:marBottom w:val="0"/>
                                  <w:divBdr>
                                    <w:top w:val="none" w:sz="0" w:space="0" w:color="auto"/>
                                    <w:left w:val="none" w:sz="0" w:space="0" w:color="auto"/>
                                    <w:bottom w:val="none" w:sz="0" w:space="0" w:color="auto"/>
                                    <w:right w:val="none" w:sz="0" w:space="0" w:color="auto"/>
                                  </w:divBdr>
                                  <w:divsChild>
                                    <w:div w:id="377825756">
                                      <w:marLeft w:val="0"/>
                                      <w:marRight w:val="0"/>
                                      <w:marTop w:val="0"/>
                                      <w:marBottom w:val="0"/>
                                      <w:divBdr>
                                        <w:top w:val="none" w:sz="0" w:space="0" w:color="auto"/>
                                        <w:left w:val="none" w:sz="0" w:space="0" w:color="auto"/>
                                        <w:bottom w:val="none" w:sz="0" w:space="0" w:color="auto"/>
                                        <w:right w:val="none" w:sz="0" w:space="0" w:color="auto"/>
                                      </w:divBdr>
                                      <w:divsChild>
                                        <w:div w:id="547186134">
                                          <w:marLeft w:val="0"/>
                                          <w:marRight w:val="0"/>
                                          <w:marTop w:val="0"/>
                                          <w:marBottom w:val="0"/>
                                          <w:divBdr>
                                            <w:top w:val="none" w:sz="0" w:space="0" w:color="auto"/>
                                            <w:left w:val="none" w:sz="0" w:space="0" w:color="auto"/>
                                            <w:bottom w:val="none" w:sz="0" w:space="0" w:color="auto"/>
                                            <w:right w:val="none" w:sz="0" w:space="0" w:color="auto"/>
                                          </w:divBdr>
                                          <w:divsChild>
                                            <w:div w:id="1553417181">
                                              <w:marLeft w:val="0"/>
                                              <w:marRight w:val="0"/>
                                              <w:marTop w:val="0"/>
                                              <w:marBottom w:val="0"/>
                                              <w:divBdr>
                                                <w:top w:val="none" w:sz="0" w:space="0" w:color="auto"/>
                                                <w:left w:val="none" w:sz="0" w:space="0" w:color="auto"/>
                                                <w:bottom w:val="none" w:sz="0" w:space="0" w:color="auto"/>
                                                <w:right w:val="none" w:sz="0" w:space="0" w:color="auto"/>
                                              </w:divBdr>
                                              <w:divsChild>
                                                <w:div w:id="682711465">
                                                  <w:marLeft w:val="0"/>
                                                  <w:marRight w:val="0"/>
                                                  <w:marTop w:val="0"/>
                                                  <w:marBottom w:val="0"/>
                                                  <w:divBdr>
                                                    <w:top w:val="none" w:sz="0" w:space="0" w:color="auto"/>
                                                    <w:left w:val="none" w:sz="0" w:space="0" w:color="auto"/>
                                                    <w:bottom w:val="none" w:sz="0" w:space="0" w:color="auto"/>
                                                    <w:right w:val="none" w:sz="0" w:space="0" w:color="auto"/>
                                                  </w:divBdr>
                                                  <w:divsChild>
                                                    <w:div w:id="490217515">
                                                      <w:marLeft w:val="0"/>
                                                      <w:marRight w:val="0"/>
                                                      <w:marTop w:val="0"/>
                                                      <w:marBottom w:val="0"/>
                                                      <w:divBdr>
                                                        <w:top w:val="none" w:sz="0" w:space="0" w:color="auto"/>
                                                        <w:left w:val="none" w:sz="0" w:space="0" w:color="auto"/>
                                                        <w:bottom w:val="none" w:sz="0" w:space="0" w:color="auto"/>
                                                        <w:right w:val="none" w:sz="0" w:space="0" w:color="auto"/>
                                                      </w:divBdr>
                                                    </w:div>
                                                  </w:divsChild>
                                                </w:div>
                                                <w:div w:id="350762739">
                                                  <w:marLeft w:val="0"/>
                                                  <w:marRight w:val="0"/>
                                                  <w:marTop w:val="0"/>
                                                  <w:marBottom w:val="0"/>
                                                  <w:divBdr>
                                                    <w:top w:val="none" w:sz="0" w:space="0" w:color="auto"/>
                                                    <w:left w:val="none" w:sz="0" w:space="0" w:color="auto"/>
                                                    <w:bottom w:val="none" w:sz="0" w:space="0" w:color="auto"/>
                                                    <w:right w:val="none" w:sz="0" w:space="0" w:color="auto"/>
                                                  </w:divBdr>
                                                  <w:divsChild>
                                                    <w:div w:id="111484484">
                                                      <w:marLeft w:val="0"/>
                                                      <w:marRight w:val="0"/>
                                                      <w:marTop w:val="0"/>
                                                      <w:marBottom w:val="0"/>
                                                      <w:divBdr>
                                                        <w:top w:val="none" w:sz="0" w:space="0" w:color="auto"/>
                                                        <w:left w:val="none" w:sz="0" w:space="0" w:color="auto"/>
                                                        <w:bottom w:val="none" w:sz="0" w:space="0" w:color="auto"/>
                                                        <w:right w:val="none" w:sz="0" w:space="0" w:color="auto"/>
                                                      </w:divBdr>
                                                    </w:div>
                                                  </w:divsChild>
                                                </w:div>
                                                <w:div w:id="1645308763">
                                                  <w:marLeft w:val="0"/>
                                                  <w:marRight w:val="0"/>
                                                  <w:marTop w:val="0"/>
                                                  <w:marBottom w:val="0"/>
                                                  <w:divBdr>
                                                    <w:top w:val="none" w:sz="0" w:space="0" w:color="auto"/>
                                                    <w:left w:val="none" w:sz="0" w:space="0" w:color="auto"/>
                                                    <w:bottom w:val="none" w:sz="0" w:space="0" w:color="auto"/>
                                                    <w:right w:val="none" w:sz="0" w:space="0" w:color="auto"/>
                                                  </w:divBdr>
                                                  <w:divsChild>
                                                    <w:div w:id="1327436800">
                                                      <w:marLeft w:val="0"/>
                                                      <w:marRight w:val="0"/>
                                                      <w:marTop w:val="0"/>
                                                      <w:marBottom w:val="0"/>
                                                      <w:divBdr>
                                                        <w:top w:val="none" w:sz="0" w:space="0" w:color="auto"/>
                                                        <w:left w:val="none" w:sz="0" w:space="0" w:color="auto"/>
                                                        <w:bottom w:val="none" w:sz="0" w:space="0" w:color="auto"/>
                                                        <w:right w:val="none" w:sz="0" w:space="0" w:color="auto"/>
                                                      </w:divBdr>
                                                    </w:div>
                                                  </w:divsChild>
                                                </w:div>
                                                <w:div w:id="127629899">
                                                  <w:marLeft w:val="0"/>
                                                  <w:marRight w:val="0"/>
                                                  <w:marTop w:val="0"/>
                                                  <w:marBottom w:val="0"/>
                                                  <w:divBdr>
                                                    <w:top w:val="none" w:sz="0" w:space="0" w:color="auto"/>
                                                    <w:left w:val="none" w:sz="0" w:space="0" w:color="auto"/>
                                                    <w:bottom w:val="none" w:sz="0" w:space="0" w:color="auto"/>
                                                    <w:right w:val="none" w:sz="0" w:space="0" w:color="auto"/>
                                                  </w:divBdr>
                                                  <w:divsChild>
                                                    <w:div w:id="1414282321">
                                                      <w:marLeft w:val="0"/>
                                                      <w:marRight w:val="0"/>
                                                      <w:marTop w:val="0"/>
                                                      <w:marBottom w:val="0"/>
                                                      <w:divBdr>
                                                        <w:top w:val="none" w:sz="0" w:space="0" w:color="auto"/>
                                                        <w:left w:val="none" w:sz="0" w:space="0" w:color="auto"/>
                                                        <w:bottom w:val="none" w:sz="0" w:space="0" w:color="auto"/>
                                                        <w:right w:val="none" w:sz="0" w:space="0" w:color="auto"/>
                                                      </w:divBdr>
                                                    </w:div>
                                                  </w:divsChild>
                                                </w:div>
                                                <w:div w:id="2019114748">
                                                  <w:marLeft w:val="0"/>
                                                  <w:marRight w:val="0"/>
                                                  <w:marTop w:val="0"/>
                                                  <w:marBottom w:val="0"/>
                                                  <w:divBdr>
                                                    <w:top w:val="none" w:sz="0" w:space="0" w:color="auto"/>
                                                    <w:left w:val="none" w:sz="0" w:space="0" w:color="auto"/>
                                                    <w:bottom w:val="none" w:sz="0" w:space="0" w:color="auto"/>
                                                    <w:right w:val="none" w:sz="0" w:space="0" w:color="auto"/>
                                                  </w:divBdr>
                                                  <w:divsChild>
                                                    <w:div w:id="448668511">
                                                      <w:marLeft w:val="0"/>
                                                      <w:marRight w:val="0"/>
                                                      <w:marTop w:val="0"/>
                                                      <w:marBottom w:val="0"/>
                                                      <w:divBdr>
                                                        <w:top w:val="none" w:sz="0" w:space="0" w:color="auto"/>
                                                        <w:left w:val="none" w:sz="0" w:space="0" w:color="auto"/>
                                                        <w:bottom w:val="none" w:sz="0" w:space="0" w:color="auto"/>
                                                        <w:right w:val="none" w:sz="0" w:space="0" w:color="auto"/>
                                                      </w:divBdr>
                                                    </w:div>
                                                  </w:divsChild>
                                                </w:div>
                                                <w:div w:id="1165320480">
                                                  <w:marLeft w:val="0"/>
                                                  <w:marRight w:val="0"/>
                                                  <w:marTop w:val="0"/>
                                                  <w:marBottom w:val="0"/>
                                                  <w:divBdr>
                                                    <w:top w:val="none" w:sz="0" w:space="0" w:color="auto"/>
                                                    <w:left w:val="none" w:sz="0" w:space="0" w:color="auto"/>
                                                    <w:bottom w:val="none" w:sz="0" w:space="0" w:color="auto"/>
                                                    <w:right w:val="none" w:sz="0" w:space="0" w:color="auto"/>
                                                  </w:divBdr>
                                                  <w:divsChild>
                                                    <w:div w:id="1367364966">
                                                      <w:marLeft w:val="0"/>
                                                      <w:marRight w:val="0"/>
                                                      <w:marTop w:val="0"/>
                                                      <w:marBottom w:val="0"/>
                                                      <w:divBdr>
                                                        <w:top w:val="none" w:sz="0" w:space="0" w:color="auto"/>
                                                        <w:left w:val="none" w:sz="0" w:space="0" w:color="auto"/>
                                                        <w:bottom w:val="none" w:sz="0" w:space="0" w:color="auto"/>
                                                        <w:right w:val="none" w:sz="0" w:space="0" w:color="auto"/>
                                                      </w:divBdr>
                                                    </w:div>
                                                  </w:divsChild>
                                                </w:div>
                                                <w:div w:id="1787775936">
                                                  <w:marLeft w:val="0"/>
                                                  <w:marRight w:val="0"/>
                                                  <w:marTop w:val="0"/>
                                                  <w:marBottom w:val="0"/>
                                                  <w:divBdr>
                                                    <w:top w:val="none" w:sz="0" w:space="0" w:color="auto"/>
                                                    <w:left w:val="none" w:sz="0" w:space="0" w:color="auto"/>
                                                    <w:bottom w:val="none" w:sz="0" w:space="0" w:color="auto"/>
                                                    <w:right w:val="none" w:sz="0" w:space="0" w:color="auto"/>
                                                  </w:divBdr>
                                                  <w:divsChild>
                                                    <w:div w:id="2145267104">
                                                      <w:marLeft w:val="0"/>
                                                      <w:marRight w:val="0"/>
                                                      <w:marTop w:val="0"/>
                                                      <w:marBottom w:val="0"/>
                                                      <w:divBdr>
                                                        <w:top w:val="none" w:sz="0" w:space="0" w:color="auto"/>
                                                        <w:left w:val="none" w:sz="0" w:space="0" w:color="auto"/>
                                                        <w:bottom w:val="none" w:sz="0" w:space="0" w:color="auto"/>
                                                        <w:right w:val="none" w:sz="0" w:space="0" w:color="auto"/>
                                                      </w:divBdr>
                                                    </w:div>
                                                  </w:divsChild>
                                                </w:div>
                                                <w:div w:id="1974360305">
                                                  <w:marLeft w:val="0"/>
                                                  <w:marRight w:val="0"/>
                                                  <w:marTop w:val="0"/>
                                                  <w:marBottom w:val="0"/>
                                                  <w:divBdr>
                                                    <w:top w:val="none" w:sz="0" w:space="0" w:color="auto"/>
                                                    <w:left w:val="none" w:sz="0" w:space="0" w:color="auto"/>
                                                    <w:bottom w:val="none" w:sz="0" w:space="0" w:color="auto"/>
                                                    <w:right w:val="none" w:sz="0" w:space="0" w:color="auto"/>
                                                  </w:divBdr>
                                                  <w:divsChild>
                                                    <w:div w:id="870649486">
                                                      <w:marLeft w:val="0"/>
                                                      <w:marRight w:val="0"/>
                                                      <w:marTop w:val="0"/>
                                                      <w:marBottom w:val="0"/>
                                                      <w:divBdr>
                                                        <w:top w:val="none" w:sz="0" w:space="0" w:color="auto"/>
                                                        <w:left w:val="none" w:sz="0" w:space="0" w:color="auto"/>
                                                        <w:bottom w:val="none" w:sz="0" w:space="0" w:color="auto"/>
                                                        <w:right w:val="none" w:sz="0" w:space="0" w:color="auto"/>
                                                      </w:divBdr>
                                                    </w:div>
                                                  </w:divsChild>
                                                </w:div>
                                                <w:div w:id="421268658">
                                                  <w:marLeft w:val="0"/>
                                                  <w:marRight w:val="0"/>
                                                  <w:marTop w:val="0"/>
                                                  <w:marBottom w:val="0"/>
                                                  <w:divBdr>
                                                    <w:top w:val="none" w:sz="0" w:space="0" w:color="auto"/>
                                                    <w:left w:val="none" w:sz="0" w:space="0" w:color="auto"/>
                                                    <w:bottom w:val="none" w:sz="0" w:space="0" w:color="auto"/>
                                                    <w:right w:val="none" w:sz="0" w:space="0" w:color="auto"/>
                                                  </w:divBdr>
                                                  <w:divsChild>
                                                    <w:div w:id="1711149905">
                                                      <w:marLeft w:val="0"/>
                                                      <w:marRight w:val="0"/>
                                                      <w:marTop w:val="0"/>
                                                      <w:marBottom w:val="0"/>
                                                      <w:divBdr>
                                                        <w:top w:val="none" w:sz="0" w:space="0" w:color="auto"/>
                                                        <w:left w:val="none" w:sz="0" w:space="0" w:color="auto"/>
                                                        <w:bottom w:val="none" w:sz="0" w:space="0" w:color="auto"/>
                                                        <w:right w:val="none" w:sz="0" w:space="0" w:color="auto"/>
                                                      </w:divBdr>
                                                    </w:div>
                                                  </w:divsChild>
                                                </w:div>
                                                <w:div w:id="834296774">
                                                  <w:marLeft w:val="0"/>
                                                  <w:marRight w:val="0"/>
                                                  <w:marTop w:val="0"/>
                                                  <w:marBottom w:val="0"/>
                                                  <w:divBdr>
                                                    <w:top w:val="none" w:sz="0" w:space="0" w:color="auto"/>
                                                    <w:left w:val="none" w:sz="0" w:space="0" w:color="auto"/>
                                                    <w:bottom w:val="none" w:sz="0" w:space="0" w:color="auto"/>
                                                    <w:right w:val="none" w:sz="0" w:space="0" w:color="auto"/>
                                                  </w:divBdr>
                                                  <w:divsChild>
                                                    <w:div w:id="1921715435">
                                                      <w:marLeft w:val="0"/>
                                                      <w:marRight w:val="0"/>
                                                      <w:marTop w:val="0"/>
                                                      <w:marBottom w:val="0"/>
                                                      <w:divBdr>
                                                        <w:top w:val="none" w:sz="0" w:space="0" w:color="auto"/>
                                                        <w:left w:val="none" w:sz="0" w:space="0" w:color="auto"/>
                                                        <w:bottom w:val="none" w:sz="0" w:space="0" w:color="auto"/>
                                                        <w:right w:val="none" w:sz="0" w:space="0" w:color="auto"/>
                                                      </w:divBdr>
                                                    </w:div>
                                                  </w:divsChild>
                                                </w:div>
                                                <w:div w:id="726495460">
                                                  <w:marLeft w:val="0"/>
                                                  <w:marRight w:val="0"/>
                                                  <w:marTop w:val="0"/>
                                                  <w:marBottom w:val="0"/>
                                                  <w:divBdr>
                                                    <w:top w:val="none" w:sz="0" w:space="0" w:color="auto"/>
                                                    <w:left w:val="none" w:sz="0" w:space="0" w:color="auto"/>
                                                    <w:bottom w:val="none" w:sz="0" w:space="0" w:color="auto"/>
                                                    <w:right w:val="none" w:sz="0" w:space="0" w:color="auto"/>
                                                  </w:divBdr>
                                                  <w:divsChild>
                                                    <w:div w:id="1299610447">
                                                      <w:marLeft w:val="0"/>
                                                      <w:marRight w:val="0"/>
                                                      <w:marTop w:val="0"/>
                                                      <w:marBottom w:val="0"/>
                                                      <w:divBdr>
                                                        <w:top w:val="none" w:sz="0" w:space="0" w:color="auto"/>
                                                        <w:left w:val="none" w:sz="0" w:space="0" w:color="auto"/>
                                                        <w:bottom w:val="none" w:sz="0" w:space="0" w:color="auto"/>
                                                        <w:right w:val="none" w:sz="0" w:space="0" w:color="auto"/>
                                                      </w:divBdr>
                                                    </w:div>
                                                  </w:divsChild>
                                                </w:div>
                                                <w:div w:id="2061436592">
                                                  <w:marLeft w:val="0"/>
                                                  <w:marRight w:val="0"/>
                                                  <w:marTop w:val="0"/>
                                                  <w:marBottom w:val="0"/>
                                                  <w:divBdr>
                                                    <w:top w:val="none" w:sz="0" w:space="0" w:color="auto"/>
                                                    <w:left w:val="none" w:sz="0" w:space="0" w:color="auto"/>
                                                    <w:bottom w:val="none" w:sz="0" w:space="0" w:color="auto"/>
                                                    <w:right w:val="none" w:sz="0" w:space="0" w:color="auto"/>
                                                  </w:divBdr>
                                                  <w:divsChild>
                                                    <w:div w:id="1591038528">
                                                      <w:marLeft w:val="0"/>
                                                      <w:marRight w:val="0"/>
                                                      <w:marTop w:val="0"/>
                                                      <w:marBottom w:val="0"/>
                                                      <w:divBdr>
                                                        <w:top w:val="none" w:sz="0" w:space="0" w:color="auto"/>
                                                        <w:left w:val="none" w:sz="0" w:space="0" w:color="auto"/>
                                                        <w:bottom w:val="none" w:sz="0" w:space="0" w:color="auto"/>
                                                        <w:right w:val="none" w:sz="0" w:space="0" w:color="auto"/>
                                                      </w:divBdr>
                                                    </w:div>
                                                  </w:divsChild>
                                                </w:div>
                                                <w:div w:id="830947357">
                                                  <w:marLeft w:val="0"/>
                                                  <w:marRight w:val="0"/>
                                                  <w:marTop w:val="0"/>
                                                  <w:marBottom w:val="0"/>
                                                  <w:divBdr>
                                                    <w:top w:val="none" w:sz="0" w:space="0" w:color="auto"/>
                                                    <w:left w:val="none" w:sz="0" w:space="0" w:color="auto"/>
                                                    <w:bottom w:val="none" w:sz="0" w:space="0" w:color="auto"/>
                                                    <w:right w:val="none" w:sz="0" w:space="0" w:color="auto"/>
                                                  </w:divBdr>
                                                  <w:divsChild>
                                                    <w:div w:id="2658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6165">
                                          <w:marLeft w:val="0"/>
                                          <w:marRight w:val="0"/>
                                          <w:marTop w:val="0"/>
                                          <w:marBottom w:val="0"/>
                                          <w:divBdr>
                                            <w:top w:val="none" w:sz="0" w:space="0" w:color="auto"/>
                                            <w:left w:val="none" w:sz="0" w:space="0" w:color="auto"/>
                                            <w:bottom w:val="none" w:sz="0" w:space="0" w:color="auto"/>
                                            <w:right w:val="none" w:sz="0" w:space="0" w:color="auto"/>
                                          </w:divBdr>
                                          <w:divsChild>
                                            <w:div w:id="1050499063">
                                              <w:marLeft w:val="0"/>
                                              <w:marRight w:val="0"/>
                                              <w:marTop w:val="0"/>
                                              <w:marBottom w:val="0"/>
                                              <w:divBdr>
                                                <w:top w:val="none" w:sz="0" w:space="0" w:color="auto"/>
                                                <w:left w:val="none" w:sz="0" w:space="0" w:color="auto"/>
                                                <w:bottom w:val="none" w:sz="0" w:space="0" w:color="auto"/>
                                                <w:right w:val="none" w:sz="0" w:space="0" w:color="auto"/>
                                              </w:divBdr>
                                              <w:divsChild>
                                                <w:div w:id="849417125">
                                                  <w:marLeft w:val="0"/>
                                                  <w:marRight w:val="0"/>
                                                  <w:marTop w:val="0"/>
                                                  <w:marBottom w:val="0"/>
                                                  <w:divBdr>
                                                    <w:top w:val="none" w:sz="0" w:space="0" w:color="auto"/>
                                                    <w:left w:val="none" w:sz="0" w:space="0" w:color="auto"/>
                                                    <w:bottom w:val="none" w:sz="0" w:space="0" w:color="auto"/>
                                                    <w:right w:val="none" w:sz="0" w:space="0" w:color="auto"/>
                                                  </w:divBdr>
                                                  <w:divsChild>
                                                    <w:div w:id="1871457144">
                                                      <w:marLeft w:val="0"/>
                                                      <w:marRight w:val="0"/>
                                                      <w:marTop w:val="45"/>
                                                      <w:marBottom w:val="45"/>
                                                      <w:divBdr>
                                                        <w:top w:val="none" w:sz="0" w:space="0" w:color="auto"/>
                                                        <w:left w:val="none" w:sz="0" w:space="0" w:color="auto"/>
                                                        <w:bottom w:val="none" w:sz="0" w:space="0" w:color="auto"/>
                                                        <w:right w:val="none" w:sz="0" w:space="0" w:color="auto"/>
                                                      </w:divBdr>
                                                    </w:div>
                                                  </w:divsChild>
                                                </w:div>
                                                <w:div w:id="405733399">
                                                  <w:marLeft w:val="0"/>
                                                  <w:marRight w:val="0"/>
                                                  <w:marTop w:val="0"/>
                                                  <w:marBottom w:val="0"/>
                                                  <w:divBdr>
                                                    <w:top w:val="none" w:sz="0" w:space="0" w:color="auto"/>
                                                    <w:left w:val="none" w:sz="0" w:space="0" w:color="auto"/>
                                                    <w:bottom w:val="none" w:sz="0" w:space="0" w:color="auto"/>
                                                    <w:right w:val="none" w:sz="0" w:space="0" w:color="auto"/>
                                                  </w:divBdr>
                                                  <w:divsChild>
                                                    <w:div w:id="1010914984">
                                                      <w:marLeft w:val="0"/>
                                                      <w:marRight w:val="0"/>
                                                      <w:marTop w:val="45"/>
                                                      <w:marBottom w:val="45"/>
                                                      <w:divBdr>
                                                        <w:top w:val="none" w:sz="0" w:space="0" w:color="auto"/>
                                                        <w:left w:val="none" w:sz="0" w:space="0" w:color="auto"/>
                                                        <w:bottom w:val="none" w:sz="0" w:space="0" w:color="auto"/>
                                                        <w:right w:val="none" w:sz="0" w:space="0" w:color="auto"/>
                                                      </w:divBdr>
                                                    </w:div>
                                                  </w:divsChild>
                                                </w:div>
                                                <w:div w:id="655688516">
                                                  <w:marLeft w:val="0"/>
                                                  <w:marRight w:val="0"/>
                                                  <w:marTop w:val="0"/>
                                                  <w:marBottom w:val="0"/>
                                                  <w:divBdr>
                                                    <w:top w:val="none" w:sz="0" w:space="0" w:color="auto"/>
                                                    <w:left w:val="none" w:sz="0" w:space="0" w:color="auto"/>
                                                    <w:bottom w:val="none" w:sz="0" w:space="0" w:color="auto"/>
                                                    <w:right w:val="none" w:sz="0" w:space="0" w:color="auto"/>
                                                  </w:divBdr>
                                                  <w:divsChild>
                                                    <w:div w:id="342127522">
                                                      <w:marLeft w:val="0"/>
                                                      <w:marRight w:val="0"/>
                                                      <w:marTop w:val="45"/>
                                                      <w:marBottom w:val="45"/>
                                                      <w:divBdr>
                                                        <w:top w:val="none" w:sz="0" w:space="0" w:color="auto"/>
                                                        <w:left w:val="none" w:sz="0" w:space="0" w:color="auto"/>
                                                        <w:bottom w:val="none" w:sz="0" w:space="0" w:color="auto"/>
                                                        <w:right w:val="none" w:sz="0" w:space="0" w:color="auto"/>
                                                      </w:divBdr>
                                                    </w:div>
                                                  </w:divsChild>
                                                </w:div>
                                                <w:div w:id="445075776">
                                                  <w:marLeft w:val="0"/>
                                                  <w:marRight w:val="0"/>
                                                  <w:marTop w:val="0"/>
                                                  <w:marBottom w:val="0"/>
                                                  <w:divBdr>
                                                    <w:top w:val="none" w:sz="0" w:space="0" w:color="auto"/>
                                                    <w:left w:val="none" w:sz="0" w:space="0" w:color="auto"/>
                                                    <w:bottom w:val="none" w:sz="0" w:space="0" w:color="auto"/>
                                                    <w:right w:val="none" w:sz="0" w:space="0" w:color="auto"/>
                                                  </w:divBdr>
                                                  <w:divsChild>
                                                    <w:div w:id="2063823971">
                                                      <w:marLeft w:val="0"/>
                                                      <w:marRight w:val="0"/>
                                                      <w:marTop w:val="0"/>
                                                      <w:marBottom w:val="0"/>
                                                      <w:divBdr>
                                                        <w:top w:val="none" w:sz="0" w:space="0" w:color="auto"/>
                                                        <w:left w:val="none" w:sz="0" w:space="0" w:color="auto"/>
                                                        <w:bottom w:val="none" w:sz="0" w:space="0" w:color="auto"/>
                                                        <w:right w:val="none" w:sz="0" w:space="0" w:color="auto"/>
                                                      </w:divBdr>
                                                      <w:divsChild>
                                                        <w:div w:id="478116698">
                                                          <w:marLeft w:val="0"/>
                                                          <w:marRight w:val="0"/>
                                                          <w:marTop w:val="0"/>
                                                          <w:marBottom w:val="0"/>
                                                          <w:divBdr>
                                                            <w:top w:val="none" w:sz="0" w:space="0" w:color="auto"/>
                                                            <w:left w:val="none" w:sz="0" w:space="0" w:color="auto"/>
                                                            <w:bottom w:val="none" w:sz="0" w:space="0" w:color="auto"/>
                                                            <w:right w:val="none" w:sz="0" w:space="0" w:color="auto"/>
                                                          </w:divBdr>
                                                          <w:divsChild>
                                                            <w:div w:id="334890282">
                                                              <w:marLeft w:val="0"/>
                                                              <w:marRight w:val="0"/>
                                                              <w:marTop w:val="0"/>
                                                              <w:marBottom w:val="0"/>
                                                              <w:divBdr>
                                                                <w:top w:val="none" w:sz="0" w:space="0" w:color="auto"/>
                                                                <w:left w:val="none" w:sz="0" w:space="0" w:color="auto"/>
                                                                <w:bottom w:val="none" w:sz="0" w:space="0" w:color="auto"/>
                                                                <w:right w:val="none" w:sz="0" w:space="0" w:color="auto"/>
                                                              </w:divBdr>
                                                            </w:div>
                                                          </w:divsChild>
                                                        </w:div>
                                                        <w:div w:id="1408990062">
                                                          <w:marLeft w:val="0"/>
                                                          <w:marRight w:val="0"/>
                                                          <w:marTop w:val="0"/>
                                                          <w:marBottom w:val="0"/>
                                                          <w:divBdr>
                                                            <w:top w:val="none" w:sz="0" w:space="0" w:color="auto"/>
                                                            <w:left w:val="none" w:sz="0" w:space="0" w:color="auto"/>
                                                            <w:bottom w:val="none" w:sz="0" w:space="0" w:color="auto"/>
                                                            <w:right w:val="none" w:sz="0" w:space="0" w:color="auto"/>
                                                          </w:divBdr>
                                                          <w:divsChild>
                                                            <w:div w:id="5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646">
                                                  <w:marLeft w:val="0"/>
                                                  <w:marRight w:val="0"/>
                                                  <w:marTop w:val="0"/>
                                                  <w:marBottom w:val="0"/>
                                                  <w:divBdr>
                                                    <w:top w:val="none" w:sz="0" w:space="0" w:color="auto"/>
                                                    <w:left w:val="none" w:sz="0" w:space="0" w:color="auto"/>
                                                    <w:bottom w:val="none" w:sz="0" w:space="0" w:color="auto"/>
                                                    <w:right w:val="none" w:sz="0" w:space="0" w:color="auto"/>
                                                  </w:divBdr>
                                                  <w:divsChild>
                                                    <w:div w:id="1683631678">
                                                      <w:marLeft w:val="0"/>
                                                      <w:marRight w:val="0"/>
                                                      <w:marTop w:val="45"/>
                                                      <w:marBottom w:val="45"/>
                                                      <w:divBdr>
                                                        <w:top w:val="none" w:sz="0" w:space="0" w:color="auto"/>
                                                        <w:left w:val="none" w:sz="0" w:space="0" w:color="auto"/>
                                                        <w:bottom w:val="none" w:sz="0" w:space="0" w:color="auto"/>
                                                        <w:right w:val="none" w:sz="0" w:space="0" w:color="auto"/>
                                                      </w:divBdr>
                                                    </w:div>
                                                  </w:divsChild>
                                                </w:div>
                                                <w:div w:id="1162701590">
                                                  <w:marLeft w:val="0"/>
                                                  <w:marRight w:val="0"/>
                                                  <w:marTop w:val="0"/>
                                                  <w:marBottom w:val="0"/>
                                                  <w:divBdr>
                                                    <w:top w:val="none" w:sz="0" w:space="0" w:color="auto"/>
                                                    <w:left w:val="none" w:sz="0" w:space="0" w:color="auto"/>
                                                    <w:bottom w:val="none" w:sz="0" w:space="0" w:color="auto"/>
                                                    <w:right w:val="none" w:sz="0" w:space="0" w:color="auto"/>
                                                  </w:divBdr>
                                                  <w:divsChild>
                                                    <w:div w:id="440802718">
                                                      <w:marLeft w:val="0"/>
                                                      <w:marRight w:val="0"/>
                                                      <w:marTop w:val="45"/>
                                                      <w:marBottom w:val="45"/>
                                                      <w:divBdr>
                                                        <w:top w:val="none" w:sz="0" w:space="0" w:color="auto"/>
                                                        <w:left w:val="none" w:sz="0" w:space="0" w:color="auto"/>
                                                        <w:bottom w:val="none" w:sz="0" w:space="0" w:color="auto"/>
                                                        <w:right w:val="none" w:sz="0" w:space="0" w:color="auto"/>
                                                      </w:divBdr>
                                                    </w:div>
                                                  </w:divsChild>
                                                </w:div>
                                                <w:div w:id="1696345733">
                                                  <w:marLeft w:val="0"/>
                                                  <w:marRight w:val="0"/>
                                                  <w:marTop w:val="0"/>
                                                  <w:marBottom w:val="0"/>
                                                  <w:divBdr>
                                                    <w:top w:val="none" w:sz="0" w:space="0" w:color="auto"/>
                                                    <w:left w:val="none" w:sz="0" w:space="0" w:color="auto"/>
                                                    <w:bottom w:val="none" w:sz="0" w:space="0" w:color="auto"/>
                                                    <w:right w:val="none" w:sz="0" w:space="0" w:color="auto"/>
                                                  </w:divBdr>
                                                  <w:divsChild>
                                                    <w:div w:id="1131485999">
                                                      <w:marLeft w:val="0"/>
                                                      <w:marRight w:val="0"/>
                                                      <w:marTop w:val="45"/>
                                                      <w:marBottom w:val="45"/>
                                                      <w:divBdr>
                                                        <w:top w:val="none" w:sz="0" w:space="0" w:color="auto"/>
                                                        <w:left w:val="none" w:sz="0" w:space="0" w:color="auto"/>
                                                        <w:bottom w:val="none" w:sz="0" w:space="0" w:color="auto"/>
                                                        <w:right w:val="none" w:sz="0" w:space="0" w:color="auto"/>
                                                      </w:divBdr>
                                                    </w:div>
                                                  </w:divsChild>
                                                </w:div>
                                                <w:div w:id="1137144081">
                                                  <w:marLeft w:val="0"/>
                                                  <w:marRight w:val="0"/>
                                                  <w:marTop w:val="0"/>
                                                  <w:marBottom w:val="0"/>
                                                  <w:divBdr>
                                                    <w:top w:val="none" w:sz="0" w:space="0" w:color="auto"/>
                                                    <w:left w:val="none" w:sz="0" w:space="0" w:color="auto"/>
                                                    <w:bottom w:val="none" w:sz="0" w:space="0" w:color="auto"/>
                                                    <w:right w:val="none" w:sz="0" w:space="0" w:color="auto"/>
                                                  </w:divBdr>
                                                  <w:divsChild>
                                                    <w:div w:id="645744473">
                                                      <w:marLeft w:val="0"/>
                                                      <w:marRight w:val="0"/>
                                                      <w:marTop w:val="45"/>
                                                      <w:marBottom w:val="45"/>
                                                      <w:divBdr>
                                                        <w:top w:val="none" w:sz="0" w:space="0" w:color="auto"/>
                                                        <w:left w:val="none" w:sz="0" w:space="0" w:color="auto"/>
                                                        <w:bottom w:val="none" w:sz="0" w:space="0" w:color="auto"/>
                                                        <w:right w:val="none" w:sz="0" w:space="0" w:color="auto"/>
                                                      </w:divBdr>
                                                    </w:div>
                                                  </w:divsChild>
                                                </w:div>
                                                <w:div w:id="1984966487">
                                                  <w:marLeft w:val="0"/>
                                                  <w:marRight w:val="0"/>
                                                  <w:marTop w:val="0"/>
                                                  <w:marBottom w:val="0"/>
                                                  <w:divBdr>
                                                    <w:top w:val="none" w:sz="0" w:space="0" w:color="auto"/>
                                                    <w:left w:val="none" w:sz="0" w:space="0" w:color="auto"/>
                                                    <w:bottom w:val="none" w:sz="0" w:space="0" w:color="auto"/>
                                                    <w:right w:val="none" w:sz="0" w:space="0" w:color="auto"/>
                                                  </w:divBdr>
                                                  <w:divsChild>
                                                    <w:div w:id="13982427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032890">
                  <w:marLeft w:val="3300"/>
                  <w:marRight w:val="0"/>
                  <w:marTop w:val="0"/>
                  <w:marBottom w:val="0"/>
                  <w:divBdr>
                    <w:top w:val="single" w:sz="2" w:space="0" w:color="A8A8A8"/>
                    <w:left w:val="single" w:sz="6" w:space="0" w:color="A8A8A8"/>
                    <w:bottom w:val="single" w:sz="2" w:space="0" w:color="A8A8A8"/>
                    <w:right w:val="single" w:sz="6" w:space="0" w:color="A8A8A8"/>
                  </w:divBdr>
                  <w:divsChild>
                    <w:div w:id="1807817535">
                      <w:marLeft w:val="-15"/>
                      <w:marRight w:val="-15"/>
                      <w:marTop w:val="0"/>
                      <w:marBottom w:val="0"/>
                      <w:divBdr>
                        <w:top w:val="none" w:sz="0" w:space="0" w:color="auto"/>
                        <w:left w:val="none" w:sz="0" w:space="0" w:color="auto"/>
                        <w:bottom w:val="none" w:sz="0" w:space="0" w:color="auto"/>
                        <w:right w:val="none" w:sz="0" w:space="0" w:color="auto"/>
                      </w:divBdr>
                      <w:divsChild>
                        <w:div w:id="584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events/3497/popimage_d60297e446408.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consult.moretonbay.qld.gov.au/events/3497/popimage_d60297e446455.html" TargetMode="External"/><Relationship Id="rId7" Type="http://schemas.openxmlformats.org/officeDocument/2006/relationships/hyperlink" Target="http://consult.moretonbay.qld.gov.au/events/3497/popimage_d60297e446209.html" TargetMode="External"/><Relationship Id="rId12" Type="http://schemas.openxmlformats.org/officeDocument/2006/relationships/image" Target="media/image3.jpeg"/><Relationship Id="rId17" Type="http://schemas.openxmlformats.org/officeDocument/2006/relationships/hyperlink" Target="http://consult.moretonbay.qld.gov.au/events/3497/popimage_d60297e44641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446227.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events/3497/popimage_d60297e446411.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nsult.moretonbay.qld.gov.au/events/3497/popimage_d60297e446438.html"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446210.html"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5</cp:revision>
  <dcterms:created xsi:type="dcterms:W3CDTF">2019-12-03T02:37:00Z</dcterms:created>
  <dcterms:modified xsi:type="dcterms:W3CDTF">2020-01-07T03:45:00Z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A19423904</vt:lpwstr>
  </property>
  <property fmtid="{D5CDD505-2E9C-101B-9397-08002B2CF9AE}" pid="4" name="Objective-Title">
    <vt:lpwstr>9.4.4 Advertising devices code - Assessable UPDATED</vt:lpwstr>
  </property>
  <property fmtid="{D5CDD505-2E9C-101B-9397-08002B2CF9AE}" pid="5" name="Objective-Comment">
    <vt:lpwstr/>
  </property>
  <property fmtid="{D5CDD505-2E9C-101B-9397-08002B2CF9AE}" pid="6" name="Objective-CreationStamp">
    <vt:filetime>2019-12-03T02:39:59Z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2020-01-07T03:42:19Z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