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090"/>
        <w:gridCol w:w="474"/>
        <w:gridCol w:w="30"/>
        <w:gridCol w:w="44"/>
        <w:gridCol w:w="76"/>
        <w:gridCol w:w="30"/>
        <w:gridCol w:w="30"/>
        <w:gridCol w:w="30"/>
        <w:gridCol w:w="30"/>
        <w:gridCol w:w="5922"/>
        <w:gridCol w:w="41"/>
        <w:gridCol w:w="71"/>
        <w:gridCol w:w="37"/>
        <w:gridCol w:w="30"/>
        <w:gridCol w:w="2272"/>
        <w:gridCol w:w="36"/>
        <w:gridCol w:w="87"/>
        <w:gridCol w:w="76"/>
        <w:gridCol w:w="30"/>
        <w:gridCol w:w="54"/>
        <w:gridCol w:w="30"/>
        <w:gridCol w:w="2785"/>
        <w:gridCol w:w="35"/>
        <w:gridCol w:w="58"/>
      </w:tblGrid>
      <w:tr w:rsidR="00A25512" w:rsidRPr="00201716" w:rsidTr="00A25512">
        <w:trPr>
          <w:tblCellSpacing w:w="15" w:type="dxa"/>
        </w:trPr>
        <w:tc>
          <w:tcPr>
            <w:tcW w:w="15338" w:type="dxa"/>
            <w:gridSpan w:val="24"/>
            <w:tcBorders>
              <w:top w:val="nil"/>
              <w:left w:val="nil"/>
              <w:bottom w:val="nil"/>
              <w:right w:val="nil"/>
            </w:tcBorders>
            <w:shd w:val="clear" w:color="auto" w:fill="CCCCCC"/>
            <w:vAlign w:val="center"/>
            <w:hideMark/>
          </w:tcPr>
          <w:p w:rsidR="00A25512" w:rsidRPr="00201716" w:rsidRDefault="00A25512" w:rsidP="00510260">
            <w:pPr>
              <w:spacing w:line="225" w:lineRule="atLeast"/>
              <w:jc w:val="center"/>
              <w:rPr>
                <w:rStyle w:val="Strong"/>
                <w:rFonts w:ascii="Arial" w:eastAsia="Times New Roman" w:hAnsi="Arial" w:cs="Arial"/>
                <w:sz w:val="20"/>
                <w:szCs w:val="20"/>
              </w:rPr>
            </w:pPr>
            <w:bookmarkStart w:id="0" w:name="_Hlk26874976"/>
            <w:r w:rsidRPr="00201716">
              <w:rPr>
                <w:rStyle w:val="Strong"/>
                <w:rFonts w:ascii="Arial" w:eastAsia="Times New Roman" w:hAnsi="Arial" w:cs="Arial"/>
                <w:sz w:val="20"/>
                <w:szCs w:val="20"/>
              </w:rPr>
              <w:t>Table 7.2.1.3.2 Assessable development - Kippa-Ring station precinct</w:t>
            </w: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Performance outcomes</w:t>
            </w:r>
          </w:p>
        </w:tc>
        <w:tc>
          <w:tcPr>
            <w:tcW w:w="6132" w:type="dxa"/>
            <w:gridSpan w:val="7"/>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Examples that achieve aspects of the Performance Outcomes</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3754F8">
            <w:pPr>
              <w:pStyle w:val="NormalWeb"/>
              <w:spacing w:before="0" w:beforeAutospacing="0" w:after="0" w:afterAutospacing="0"/>
              <w:rPr>
                <w:rFonts w:ascii="Arial" w:hAnsi="Arial" w:cs="Arial"/>
                <w:b/>
                <w:bCs/>
                <w:sz w:val="20"/>
                <w:szCs w:val="20"/>
              </w:rPr>
            </w:pPr>
            <w:r w:rsidRPr="00201716">
              <w:rPr>
                <w:rFonts w:ascii="Arial" w:hAnsi="Arial" w:cs="Arial"/>
                <w:b/>
                <w:bCs/>
                <w:sz w:val="20"/>
                <w:szCs w:val="20"/>
              </w:rPr>
              <w:t>E Compliance</w:t>
            </w:r>
          </w:p>
          <w:p w:rsidR="003754F8" w:rsidRPr="00201716" w:rsidRDefault="003754F8" w:rsidP="003754F8">
            <w:pPr>
              <w:pStyle w:val="NormalWeb"/>
              <w:numPr>
                <w:ilvl w:val="0"/>
                <w:numId w:val="14"/>
              </w:numPr>
              <w:spacing w:before="0" w:beforeAutospacing="0" w:after="0" w:afterAutospacing="0"/>
              <w:rPr>
                <w:rFonts w:ascii="Arial" w:hAnsi="Arial" w:cs="Arial"/>
                <w:b/>
                <w:bCs/>
                <w:sz w:val="20"/>
                <w:szCs w:val="20"/>
              </w:rPr>
            </w:pPr>
            <w:r w:rsidRPr="00201716">
              <w:rPr>
                <w:rFonts w:ascii="Arial" w:hAnsi="Arial" w:cs="Arial"/>
                <w:b/>
                <w:bCs/>
                <w:sz w:val="20"/>
                <w:szCs w:val="20"/>
              </w:rPr>
              <w:t>Yes</w:t>
            </w:r>
          </w:p>
          <w:p w:rsidR="003754F8" w:rsidRPr="00201716" w:rsidRDefault="003754F8" w:rsidP="003754F8">
            <w:pPr>
              <w:pStyle w:val="NormalWeb"/>
              <w:numPr>
                <w:ilvl w:val="0"/>
                <w:numId w:val="14"/>
              </w:numPr>
              <w:spacing w:before="0" w:beforeAutospacing="0" w:after="0" w:afterAutospacing="0"/>
              <w:rPr>
                <w:rFonts w:ascii="Arial" w:hAnsi="Arial" w:cs="Arial"/>
                <w:b/>
                <w:bCs/>
                <w:sz w:val="20"/>
                <w:szCs w:val="20"/>
              </w:rPr>
            </w:pPr>
            <w:r w:rsidRPr="00201716">
              <w:rPr>
                <w:rFonts w:ascii="Arial" w:hAnsi="Arial" w:cs="Arial"/>
                <w:b/>
                <w:bCs/>
                <w:sz w:val="20"/>
                <w:szCs w:val="20"/>
              </w:rPr>
              <w:t>No See PO or</w:t>
            </w:r>
          </w:p>
          <w:p w:rsidR="003754F8" w:rsidRPr="00201716" w:rsidRDefault="003754F8" w:rsidP="003754F8">
            <w:pPr>
              <w:pStyle w:val="NormalWeb"/>
              <w:numPr>
                <w:ilvl w:val="0"/>
                <w:numId w:val="14"/>
              </w:numPr>
              <w:spacing w:before="0" w:beforeAutospacing="0" w:after="0" w:afterAutospacing="0"/>
              <w:rPr>
                <w:rStyle w:val="Strong"/>
                <w:rFonts w:ascii="Arial" w:hAnsi="Arial" w:cs="Arial"/>
                <w:sz w:val="20"/>
                <w:szCs w:val="20"/>
              </w:rPr>
            </w:pPr>
            <w:r w:rsidRPr="00201716">
              <w:rPr>
                <w:rFonts w:ascii="Arial" w:hAnsi="Arial" w:cs="Arial"/>
                <w:b/>
                <w:bCs/>
                <w:sz w:val="20"/>
                <w:szCs w:val="20"/>
              </w:rPr>
              <w:t>NA</w:t>
            </w: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r w:rsidRPr="00201716">
              <w:rPr>
                <w:rFonts w:ascii="Arial" w:hAnsi="Arial" w:cs="Arial"/>
                <w:b/>
                <w:bCs/>
                <w:sz w:val="20"/>
                <w:szCs w:val="20"/>
              </w:rPr>
              <w:t>Justification for compliance</w:t>
            </w:r>
          </w:p>
        </w:tc>
      </w:tr>
      <w:tr w:rsidR="00A25512" w:rsidRPr="00201716" w:rsidTr="00A25512">
        <w:trPr>
          <w:tblCellSpacing w:w="15" w:type="dxa"/>
        </w:trPr>
        <w:tc>
          <w:tcPr>
            <w:tcW w:w="15338" w:type="dxa"/>
            <w:gridSpan w:val="24"/>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jc w:val="center"/>
              <w:rPr>
                <w:rStyle w:val="Strong"/>
                <w:rFonts w:ascii="Arial" w:hAnsi="Arial" w:cs="Arial"/>
                <w:sz w:val="20"/>
                <w:szCs w:val="20"/>
              </w:rPr>
            </w:pPr>
            <w:r w:rsidRPr="00201716">
              <w:rPr>
                <w:rStyle w:val="Strong"/>
                <w:rFonts w:ascii="Arial" w:hAnsi="Arial" w:cs="Arial"/>
                <w:sz w:val="20"/>
                <w:szCs w:val="20"/>
              </w:rPr>
              <w:t>General criteria</w:t>
            </w: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Role of the precinct</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w:t>
            </w:r>
          </w:p>
          <w:p w:rsidR="003754F8" w:rsidRPr="00201716" w:rsidRDefault="003754F8" w:rsidP="003754F8">
            <w:pPr>
              <w:pStyle w:val="NormalWeb"/>
              <w:numPr>
                <w:ilvl w:val="0"/>
                <w:numId w:val="1"/>
              </w:numPr>
              <w:rPr>
                <w:rFonts w:ascii="Arial" w:hAnsi="Arial" w:cs="Arial"/>
                <w:sz w:val="20"/>
                <w:szCs w:val="20"/>
              </w:rPr>
            </w:pPr>
            <w:r w:rsidRPr="00201716">
              <w:rPr>
                <w:rFonts w:ascii="Arial" w:hAnsi="Arial" w:cs="Arial"/>
                <w:sz w:val="20"/>
                <w:szCs w:val="20"/>
              </w:rPr>
              <w:t>is consistent with the intended role of the precinct as a destination transit hub that serves as a gateway to the Redcliffe Peninsular centred on the railway station and bus interchange</w:t>
            </w:r>
          </w:p>
          <w:p w:rsidR="003754F8" w:rsidRPr="00201716" w:rsidRDefault="003754F8" w:rsidP="003754F8">
            <w:pPr>
              <w:pStyle w:val="NormalWeb"/>
              <w:numPr>
                <w:ilvl w:val="0"/>
                <w:numId w:val="1"/>
              </w:numPr>
              <w:rPr>
                <w:rFonts w:ascii="Arial" w:hAnsi="Arial" w:cs="Arial"/>
                <w:sz w:val="20"/>
                <w:szCs w:val="20"/>
              </w:rPr>
            </w:pPr>
            <w:r w:rsidRPr="00201716">
              <w:rPr>
                <w:rFonts w:ascii="Arial" w:hAnsi="Arial" w:cs="Arial"/>
                <w:sz w:val="20"/>
                <w:szCs w:val="20"/>
              </w:rPr>
              <w:t>supports the use of the station plaza as a place for the community and commuters to gather.</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Setbacks</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 building setbacks ensure buildings address and actively interface with streets and public spaces.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Side and rear setbacks are of a dimension to:</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lastRenderedPageBreak/>
              <w:t>ensure impacts from the use are buffered an ameliorated;</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compatible with established setbacks;</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is sufficient to minimise overlooking and maintain privacy of adjoining properties;</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is sufficient to ensure development is not visually dominant or overbearing on adjoining properties.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Minimum setback of all buildings and structures, unless otherwise indicated in a precinct, is:</w:t>
            </w:r>
          </w:p>
          <w:p w:rsidR="003754F8" w:rsidRPr="00201716" w:rsidRDefault="003754F8" w:rsidP="003754F8">
            <w:pPr>
              <w:pStyle w:val="NormalWeb"/>
              <w:numPr>
                <w:ilvl w:val="0"/>
                <w:numId w:val="3"/>
              </w:numPr>
              <w:rPr>
                <w:rFonts w:ascii="Arial" w:hAnsi="Arial" w:cs="Arial"/>
                <w:sz w:val="20"/>
                <w:szCs w:val="20"/>
              </w:rPr>
            </w:pPr>
            <w:r w:rsidRPr="00201716">
              <w:rPr>
                <w:rFonts w:ascii="Arial" w:hAnsi="Arial" w:cs="Arial"/>
                <w:sz w:val="20"/>
                <w:szCs w:val="20"/>
              </w:rPr>
              <w:lastRenderedPageBreak/>
              <w:t>Side boundary - 3m;</w:t>
            </w:r>
          </w:p>
          <w:p w:rsidR="003754F8" w:rsidRPr="00201716" w:rsidRDefault="003754F8" w:rsidP="003754F8">
            <w:pPr>
              <w:pStyle w:val="NormalWeb"/>
              <w:numPr>
                <w:ilvl w:val="0"/>
                <w:numId w:val="3"/>
              </w:numPr>
              <w:rPr>
                <w:rFonts w:ascii="Arial" w:hAnsi="Arial" w:cs="Arial"/>
                <w:sz w:val="20"/>
                <w:szCs w:val="20"/>
              </w:rPr>
            </w:pPr>
            <w:r w:rsidRPr="00201716">
              <w:rPr>
                <w:rFonts w:ascii="Arial" w:hAnsi="Arial" w:cs="Arial"/>
                <w:sz w:val="20"/>
                <w:szCs w:val="20"/>
              </w:rPr>
              <w:t>Rear boundary - 3m.</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Site area</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Site area is sufficient in area and dimension to accommodate the use, buildings and structures as well as required buffering measures, treatments, access, parking and manoeuvring.</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rHeight w:val="315"/>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Building height</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and structures are of a height, scale and bulk which:</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respect existing amenity and character;</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minimise the visual impact of large-scale built form;</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do not result in a significant loss of amenity;</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allows for distinctive and innovative design outcomes on prominent sites.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 height does not exceed the maximum height identified on Overlay map – Building heights.</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Built form</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and structures are designed and constructed to:</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incorporate a mix of colours and high quality materials to add diversification to treatments and finishes;</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avoid blank walls through façade articulation to create visual interest and deter graffiti and vandalism;</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activate and address the street, public areas and public open space;</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reduce cluttering of plant and equipment on building roofs.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Personal and property safety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510260">
        <w:trPr>
          <w:trHeight w:val="1067"/>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structures and spaces are designed and constructed to create a safe and secure environment by incorporating key crime prevention through environmental design principles (CPTED), including:</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casual surveillance opportunities and sight lines;</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way-finding cues and signage;</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defined different uses and private and public ownership through adequate fencing and signage;</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lastRenderedPageBreak/>
              <w:t>light illuminates pathways and potential entrapment areas as well as maximising opportunities for penetration of natural light into spaces;</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minimise predictable routes and entrapment locations.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Amenity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amenity of the area and adjacent sensitive land uses are protected from the impacts of dust, odour, noise, light, chemicals and other environmental nuisances.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Accessibility and permeability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contributes to greater permeability within the precinct by facilitating a network of convenient and safe pedestrian walkways, cycle ways and mid block connections.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Car parking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car parking associated with an activity:</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provides safe and convenient on-site parking and manoeuvring to meet anticipated parking demand;</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 xml:space="preserve">does not result adverse impacts on the efficient and </w:t>
            </w:r>
            <w:r w:rsidRPr="00201716">
              <w:rPr>
                <w:rFonts w:ascii="Arial" w:hAnsi="Arial" w:cs="Arial"/>
                <w:sz w:val="20"/>
                <w:szCs w:val="20"/>
              </w:rPr>
              <w:lastRenderedPageBreak/>
              <w:t>safe functioning of the road network;</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does not compromise the ongoing operation of existing or planned infrastructure and utilities.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59"/>
            </w:tblGrid>
            <w:tr w:rsidR="003754F8" w:rsidRPr="00201716" w:rsidTr="00510260">
              <w:trPr>
                <w:tblCellSpacing w:w="15" w:type="dxa"/>
              </w:trPr>
              <w:tc>
                <w:tcPr>
                  <w:tcW w:w="7592"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t>Note - Refer to Planning scheme policy - Integrated transport assessment for guidance on how to achieve compliance with this outcome.</w:t>
                  </w:r>
                </w:p>
              </w:tc>
            </w:tr>
          </w:tbl>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E10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Car parking is provided in accordance with Schedule 7 - Car parking.</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design of car parking areas:</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does not impact on the safety of the external road network;</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ensures the safety of pedestrians at all times;</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ensures the safe movement of vehicles within the site.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car parking areas are designed and constructed in accordance with Australian Standard AS2890.1 Parking facilities Part 1: Off-street car parking.</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Loading and servicing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5E31D7">
        <w:trPr>
          <w:trHeight w:val="784"/>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Loading and servicing areas:</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are not visible from the street frontage;</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are integrated into the design of the building;</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include screening and buffers to reduce negative;</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impacts on adjoining sensitive land uses are consolidated and shared with adjoining sites, where possible.</w:t>
            </w:r>
          </w:p>
          <w:p w:rsidR="00510260" w:rsidRPr="005E31D7" w:rsidRDefault="00510260" w:rsidP="00510260">
            <w:pPr>
              <w:pStyle w:val="NormalWeb"/>
              <w:rPr>
                <w:rFonts w:ascii="Arial" w:hAnsi="Arial" w:cs="Arial"/>
                <w:sz w:val="18"/>
                <w:szCs w:val="20"/>
              </w:rPr>
            </w:pPr>
            <w:r w:rsidRPr="005E31D7">
              <w:rPr>
                <w:rFonts w:ascii="Arial" w:hAnsi="Arial" w:cs="Arial"/>
                <w:sz w:val="18"/>
                <w:szCs w:val="20"/>
              </w:rPr>
              <w:lastRenderedPageBreak/>
              <w:t>Note - An access easement may be required to be registered to ensure shared access between properties is permitted.</w:t>
            </w:r>
          </w:p>
          <w:p w:rsidR="005E31D7" w:rsidRDefault="00510260" w:rsidP="005E31D7">
            <w:pPr>
              <w:pStyle w:val="NormalWeb"/>
              <w:rPr>
                <w:rFonts w:ascii="Arial" w:hAnsi="Arial" w:cs="Arial"/>
                <w:sz w:val="20"/>
                <w:szCs w:val="20"/>
              </w:rPr>
            </w:pPr>
            <w:r w:rsidRPr="00201716">
              <w:rPr>
                <w:rFonts w:ascii="Arial" w:hAnsi="Arial" w:cs="Arial"/>
                <w:sz w:val="20"/>
                <w:szCs w:val="20"/>
              </w:rPr>
              <w:t>Note - Refer to Planning scheme policy - Centre and neighbourhood hub design.</w:t>
            </w:r>
          </w:p>
          <w:p w:rsidR="005E31D7" w:rsidRPr="005E31D7" w:rsidRDefault="005E31D7" w:rsidP="005E31D7"/>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510260" w:rsidRPr="00201716" w:rsidRDefault="00510260" w:rsidP="00510260">
            <w:pPr>
              <w:pStyle w:val="NormalWeb"/>
              <w:rPr>
                <w:rFonts w:ascii="Arial"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Waste</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Bins and bin storage areas are provided, designed and managed in accordance with Planning scheme policy – Waste.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meet the criteria in the Planning scheme policy - Waste and is demonstrated in a waste management program.</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Landscaping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Landscaping and screening is provided in a manner that: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achieves a high level of privacy and amenity to sensitive land use on adjoining properties and when viewed from the street;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reduces the visual impact of building bulk and presence and hard surface areas on the local character and amenity of adjoining sensitive land use and from the street;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creates a secure and safe environment by incorporating key elements of crime prevention through environmental design;</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lastRenderedPageBreak/>
              <w:t>achieves the design principles outlined in Planning scheme policy - Integrated design.</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Noise</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rHeight w:val="2895"/>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Noise generating uses do not adversely affect existing or potential noise sensitive uses.  </w:t>
            </w:r>
          </w:p>
          <w:p w:rsidR="00510260" w:rsidRPr="005E31D7" w:rsidRDefault="00510260" w:rsidP="00510260">
            <w:pPr>
              <w:pStyle w:val="NormalWeb"/>
              <w:rPr>
                <w:rFonts w:ascii="Arial" w:hAnsi="Arial" w:cs="Arial"/>
                <w:sz w:val="18"/>
                <w:szCs w:val="20"/>
              </w:rPr>
            </w:pPr>
            <w:r w:rsidRPr="005E31D7">
              <w:rPr>
                <w:rFonts w:ascii="Arial" w:hAnsi="Arial" w:cs="Arial"/>
                <w:sz w:val="18"/>
                <w:szCs w:val="20"/>
              </w:rPr>
              <w:t>Note - The use of walls, barriers or fences that are visible from or adjoin a road or public area are not appropriate noise attenuation measures.</w:t>
            </w:r>
          </w:p>
          <w:p w:rsidR="00510260" w:rsidRPr="00201716" w:rsidRDefault="00510260" w:rsidP="00510260">
            <w:pPr>
              <w:pStyle w:val="NormalWeb"/>
              <w:rPr>
                <w:rFonts w:ascii="Arial" w:hAnsi="Arial" w:cs="Arial"/>
                <w:sz w:val="20"/>
                <w:szCs w:val="20"/>
              </w:rPr>
            </w:pPr>
            <w:r w:rsidRPr="005E31D7">
              <w:rPr>
                <w:rFonts w:ascii="Arial" w:hAnsi="Arial" w:cs="Arial"/>
                <w:sz w:val="18"/>
                <w:szCs w:val="20"/>
              </w:rPr>
              <w:t>Note - A noise impact assessment may be required to demonstrate compliance with this PO.  Noise impact assessments are to be prepared in accordance with Planning scheme policy - Noise.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 </w:t>
            </w:r>
          </w:p>
          <w:p w:rsidR="00510260" w:rsidRPr="00201716" w:rsidRDefault="00510260" w:rsidP="00510260">
            <w:pPr>
              <w:pStyle w:val="NormalWeb"/>
              <w:rPr>
                <w:rFonts w:ascii="Arial"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3549" w:type="dxa"/>
            <w:gridSpan w:val="3"/>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Sensitive land uses are provided with an appropriate acoustic environment within designated external private outdoor living spaces and internal areas while:</w:t>
            </w:r>
          </w:p>
          <w:p w:rsidR="003754F8" w:rsidRPr="00201716" w:rsidRDefault="003754F8" w:rsidP="003754F8">
            <w:pPr>
              <w:numPr>
                <w:ilvl w:val="0"/>
                <w:numId w:val="1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3754F8" w:rsidRPr="00201716" w:rsidRDefault="003754F8" w:rsidP="003754F8">
            <w:pPr>
              <w:numPr>
                <w:ilvl w:val="0"/>
                <w:numId w:val="1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maintaining the amenity of the streetscape. </w:t>
            </w:r>
          </w:p>
          <w:p w:rsidR="003754F8" w:rsidRPr="005E31D7" w:rsidRDefault="00510260" w:rsidP="00510260">
            <w:pPr>
              <w:rPr>
                <w:rFonts w:ascii="Arial" w:eastAsia="Times New Roman" w:hAnsi="Arial" w:cs="Arial"/>
                <w:sz w:val="18"/>
                <w:szCs w:val="20"/>
              </w:rPr>
            </w:pPr>
            <w:r w:rsidRPr="005E31D7">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p w:rsidR="00510260" w:rsidRPr="00201716" w:rsidRDefault="00510260" w:rsidP="00510260">
            <w:pPr>
              <w:rPr>
                <w:rFonts w:ascii="Arial" w:eastAsia="Times New Roman" w:hAnsi="Arial" w:cs="Arial"/>
                <w:sz w:val="20"/>
                <w:szCs w:val="20"/>
              </w:rPr>
            </w:pPr>
          </w:p>
          <w:p w:rsidR="00510260" w:rsidRPr="00201716" w:rsidRDefault="00510260" w:rsidP="00510260">
            <w:pPr>
              <w:rPr>
                <w:rFonts w:ascii="Arial" w:eastAsia="Times New Roman" w:hAnsi="Arial" w:cs="Arial"/>
                <w:sz w:val="20"/>
                <w:szCs w:val="20"/>
              </w:rPr>
            </w:pPr>
            <w:r w:rsidRPr="005E31D7">
              <w:rPr>
                <w:rFonts w:ascii="Arial" w:eastAsia="Times New Roman" w:hAnsi="Arial" w:cs="Arial"/>
                <w:sz w:val="18"/>
                <w:szCs w:val="20"/>
              </w:rPr>
              <w:t>Note - Refer to Planning Scheme Policy – Integrated design for details and examples of noise attenuation structures.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E16.1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meet the criteria outlined in the Planning Scheme Policy – Noise.</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Noise attenuation structures (e.g. walls, barriers or fences):</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not visible from an adjoining road or public area unless:</w:t>
            </w:r>
          </w:p>
          <w:p w:rsidR="003754F8" w:rsidRPr="00201716" w:rsidRDefault="003754F8" w:rsidP="003754F8">
            <w:pPr>
              <w:numPr>
                <w:ilvl w:val="1"/>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adjoining a motorway or rail line; or</w:t>
            </w:r>
          </w:p>
          <w:p w:rsidR="003754F8" w:rsidRPr="00201716" w:rsidRDefault="003754F8" w:rsidP="003754F8">
            <w:pPr>
              <w:numPr>
                <w:ilvl w:val="1"/>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remove existing or prevent future active transport routes or connections to the street network;</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2"/>
            </w:tblGrid>
            <w:tr w:rsidR="003754F8" w:rsidRPr="00201716" w:rsidTr="00510260">
              <w:trPr>
                <w:tblCellSpacing w:w="15" w:type="dxa"/>
              </w:trPr>
              <w:tc>
                <w:tcPr>
                  <w:tcW w:w="1044" w:type="dxa"/>
                  <w:vAlign w:val="center"/>
                  <w:hideMark/>
                </w:tcPr>
                <w:p w:rsidR="003754F8" w:rsidRPr="005E31D7" w:rsidRDefault="003754F8" w:rsidP="00510260">
                  <w:pPr>
                    <w:rPr>
                      <w:rFonts w:ascii="Arial" w:eastAsia="Times New Roman" w:hAnsi="Arial" w:cs="Arial"/>
                      <w:sz w:val="18"/>
                      <w:szCs w:val="20"/>
                    </w:rPr>
                  </w:pPr>
                  <w:r w:rsidRPr="005E31D7">
                    <w:rPr>
                      <w:rFonts w:ascii="Arial" w:eastAsia="Times New Roman" w:hAnsi="Arial" w:cs="Arial"/>
                      <w:sz w:val="18"/>
                      <w:szCs w:val="20"/>
                    </w:rPr>
                    <w:t>Note - Refer to Planning scheme policy – Integrated design for details and examples of noise attenuation structures.</w:t>
                  </w:r>
                </w:p>
              </w:tc>
            </w:tr>
            <w:tr w:rsidR="003754F8" w:rsidRPr="00201716" w:rsidTr="00510260">
              <w:trPr>
                <w:tblCellSpacing w:w="15" w:type="dxa"/>
              </w:trPr>
              <w:tc>
                <w:tcPr>
                  <w:tcW w:w="1044" w:type="dxa"/>
                  <w:vAlign w:val="center"/>
                  <w:hideMark/>
                </w:tcPr>
                <w:p w:rsidR="00510260" w:rsidRPr="005E31D7" w:rsidRDefault="003754F8" w:rsidP="00510260">
                  <w:pPr>
                    <w:rPr>
                      <w:rFonts w:ascii="Arial" w:eastAsia="Times New Roman" w:hAnsi="Arial" w:cs="Arial"/>
                      <w:sz w:val="18"/>
                      <w:szCs w:val="20"/>
                    </w:rPr>
                  </w:pPr>
                  <w:r w:rsidRPr="005E31D7">
                    <w:rPr>
                      <w:rFonts w:ascii="Arial" w:eastAsia="Times New Roman" w:hAnsi="Arial" w:cs="Arial"/>
                      <w:sz w:val="18"/>
                      <w:szCs w:val="20"/>
                    </w:rPr>
                    <w:t>Note - Refer to Overlay map – Active transport for future active transport routes.</w:t>
                  </w:r>
                </w:p>
              </w:tc>
            </w:tr>
          </w:tbl>
          <w:p w:rsidR="003754F8" w:rsidRPr="00201716" w:rsidRDefault="003754F8" w:rsidP="00510260">
            <w:pPr>
              <w:rPr>
                <w:rFonts w:ascii="Arial" w:eastAsia="Times New Roman"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Lighting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Lighting is designed to provide adequate levels of illumination to public and communal spaces to maximise safety while minimising adverse impacts on sensitive land uses.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 </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Clearing of habitat trees where not located within the Environmental areas overlay map</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PO18</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Development ensures that the biodiversity quality and integrity of habitats is not adversely impacted upon but maintained and protected.</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w:t>
            </w:r>
            <w:r w:rsidRPr="00201716">
              <w:rPr>
                <w:rFonts w:ascii="Arial" w:hAnsi="Arial" w:cs="Arial"/>
                <w:sz w:val="20"/>
                <w:szCs w:val="20"/>
              </w:rPr>
              <w:lastRenderedPageBreak/>
              <w:t>trees &gt; 80cm in diameter at 1.3m height, 3 nest boxes are required for every habitat tree removed.</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59"/>
            </w:tblGrid>
            <w:tr w:rsidR="003754F8" w:rsidRPr="00201716" w:rsidTr="00510260">
              <w:trPr>
                <w:tblCellSpacing w:w="15" w:type="dxa"/>
              </w:trPr>
              <w:tc>
                <w:tcPr>
                  <w:tcW w:w="7592"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Further guidance on habitat trees is provided in Planning scheme policy - Environmental areas</w:t>
                  </w:r>
                </w:p>
              </w:tc>
            </w:tr>
          </w:tbl>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rHeight w:val="225"/>
          <w:tblCellSpacing w:w="15" w:type="dxa"/>
        </w:trPr>
        <w:tc>
          <w:tcPr>
            <w:tcW w:w="15338" w:type="dxa"/>
            <w:gridSpan w:val="24"/>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jc w:val="center"/>
              <w:rPr>
                <w:rStyle w:val="Strong"/>
                <w:rFonts w:ascii="Arial" w:hAnsi="Arial" w:cs="Arial"/>
                <w:sz w:val="20"/>
                <w:szCs w:val="20"/>
              </w:rPr>
            </w:pPr>
            <w:r w:rsidRPr="00201716">
              <w:rPr>
                <w:rStyle w:val="Strong"/>
                <w:rFonts w:ascii="Arial" w:hAnsi="Arial" w:cs="Arial"/>
                <w:sz w:val="20"/>
                <w:szCs w:val="20"/>
              </w:rPr>
              <w:t>Works criteria</w:t>
            </w:r>
          </w:p>
        </w:tc>
      </w:tr>
      <w:tr w:rsidR="003754F8" w:rsidRPr="00201716" w:rsidTr="00A25512">
        <w:trPr>
          <w:gridAfter w:val="1"/>
          <w:wAfter w:w="13" w:type="dxa"/>
          <w:tblCellSpacing w:w="15" w:type="dxa"/>
        </w:trPr>
        <w:tc>
          <w:tcPr>
            <w:tcW w:w="9752"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Fonts w:ascii="Arial" w:hAnsi="Arial" w:cs="Arial"/>
                <w:color w:val="000000"/>
                <w:sz w:val="20"/>
                <w:szCs w:val="20"/>
              </w:rPr>
            </w:pPr>
            <w:bookmarkStart w:id="1" w:name="_Hlk26875050"/>
            <w:bookmarkEnd w:id="0"/>
            <w:r w:rsidRPr="00201716">
              <w:rPr>
                <w:rStyle w:val="Strong"/>
                <w:rFonts w:ascii="Arial" w:hAnsi="Arial" w:cs="Arial"/>
                <w:color w:val="000000"/>
                <w:sz w:val="20"/>
                <w:szCs w:val="20"/>
              </w:rPr>
              <w:t>Utilities</w:t>
            </w:r>
          </w:p>
        </w:tc>
        <w:tc>
          <w:tcPr>
            <w:tcW w:w="2416" w:type="dxa"/>
            <w:gridSpan w:val="5"/>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color w:val="000000"/>
                <w:sz w:val="20"/>
                <w:szCs w:val="20"/>
              </w:rPr>
            </w:pPr>
          </w:p>
        </w:tc>
        <w:tc>
          <w:tcPr>
            <w:tcW w:w="3067" w:type="dxa"/>
            <w:gridSpan w:val="7"/>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color w:val="000000"/>
                <w:sz w:val="20"/>
                <w:szCs w:val="20"/>
              </w:rPr>
            </w:pPr>
          </w:p>
        </w:tc>
      </w:tr>
      <w:tr w:rsidR="003754F8" w:rsidRPr="00201716" w:rsidTr="00A25512">
        <w:trPr>
          <w:gridAfter w:val="1"/>
          <w:wAfter w:w="13" w:type="dxa"/>
          <w:tblCellSpacing w:w="15" w:type="dxa"/>
        </w:trPr>
        <w:tc>
          <w:tcPr>
            <w:tcW w:w="3519" w:type="dxa"/>
            <w:gridSpan w:val="2"/>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3754F8" w:rsidRPr="00201716" w:rsidRDefault="003754F8" w:rsidP="00510260">
            <w:pPr>
              <w:rPr>
                <w:rFonts w:ascii="Arial" w:eastAsia="Times New Roman" w:hAnsi="Arial" w:cs="Arial"/>
                <w:sz w:val="20"/>
                <w:szCs w:val="20"/>
              </w:rPr>
            </w:pPr>
          </w:p>
        </w:tc>
        <w:tc>
          <w:tcPr>
            <w:tcW w:w="6203"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416"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067"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9860" w:type="dxa"/>
            <w:gridSpan w:val="13"/>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Fonts w:ascii="Arial" w:hAnsi="Arial" w:cs="Arial"/>
                <w:sz w:val="20"/>
                <w:szCs w:val="20"/>
              </w:rPr>
            </w:pPr>
            <w:bookmarkStart w:id="2" w:name="_Hlk26875098"/>
            <w:bookmarkEnd w:id="1"/>
            <w:r w:rsidRPr="00201716">
              <w:rPr>
                <w:rStyle w:val="Strong"/>
                <w:rFonts w:ascii="Arial" w:hAnsi="Arial" w:cs="Arial"/>
                <w:sz w:val="20"/>
                <w:szCs w:val="20"/>
              </w:rPr>
              <w:t>Access</w:t>
            </w:r>
          </w:p>
        </w:tc>
        <w:tc>
          <w:tcPr>
            <w:tcW w:w="2395" w:type="dxa"/>
            <w:gridSpan w:val="4"/>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provides functional and integrated car parking and vehicle access, that:</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prioritises the movement and safety of pedestrians between car parking areas at the rear </w:t>
            </w:r>
            <w:r w:rsidRPr="00201716">
              <w:rPr>
                <w:rFonts w:ascii="Arial" w:eastAsia="Times New Roman" w:hAnsi="Arial" w:cs="Arial"/>
                <w:sz w:val="20"/>
                <w:szCs w:val="20"/>
              </w:rPr>
              <w:lastRenderedPageBreak/>
              <w:t>through to the 'main street' and the entrance to the building (e.g. rear entry, arcade etc.);</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provides safety and security of people and property at all times;</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impede active transport options;</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impact on the safe and efficient movement of traffic external to the site;</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Centre and neighbourhood hub design for details and examples</w:t>
                  </w:r>
                  <w:r w:rsidRPr="00201716">
                    <w:rPr>
                      <w:rFonts w:ascii="Arial" w:hAnsi="Arial" w:cs="Arial"/>
                      <w:sz w:val="20"/>
                      <w:szCs w:val="20"/>
                    </w:rPr>
                    <w:t>.</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layout of the development does not compromise:</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development of the road network in the area;</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lastRenderedPageBreak/>
              <w:t>the function or safety of the road network;</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hierarchy is mapped on Overlay map - Road hierarchy.</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E22.1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Editor's note - Residential developments should consider amalgamation with the lot to the rear and gaining access via a laneway.</w:t>
                  </w:r>
                </w:p>
              </w:tc>
            </w:tr>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hierarchy is mapped on Overlay map - Road hierarchy.</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provides for the extension of the road network in the area in accordance with Council’s road network planning.</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does not compromise future road widening of frontage roads in accordance with the relevant standard and Council’s road planning.</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layout allows forward vehicular access to and from the site. </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Safe access is provided for all vehicles required to access the site.</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Site access and driveways are designed, located and constructed in accordance with:</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Council-controlled road and associated with a Dwelling house:</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Planning scheme policy - Integrated design;</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Council-controlled road and not associated with a Dwelling house:</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AS/NZS2890.1 Parking facilities Part 1: Off street car parking;</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AS 2890.2 - Parking facilities Part 2: Off-street commercial vehicle facilities;</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Planning scheme policy - Integrated design;</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Schedule 8 - Service vehicle requirements;</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Internal driveways, car parks and access ways are designed and constructed with a sealed pavement and in accordance with: </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AS/NZS 2890.1 Parking Facilities Part 1: Off street car parking;</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AS 2890.2 Parking Facilities Part 2: Off street commercial vehicle facilities; </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Planning scheme policy - Integrated design; and</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This includes queue lengths (refer to Schedule 8 - Service vehicle requirements), pavement widths and construction.</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Landscaping (including shade trees) is provided within car parks in accordance with Planning scheme policy - Integrated design.</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 xml:space="preserve">Editor's note - Where associated with a State-controlled road, further requirements may apply, and approvals </w:t>
                  </w:r>
                  <w:r w:rsidRPr="005E31D7">
                    <w:rPr>
                      <w:rFonts w:ascii="Arial" w:hAnsi="Arial" w:cs="Arial"/>
                      <w:sz w:val="18"/>
                      <w:szCs w:val="20"/>
                    </w:rPr>
                    <w:lastRenderedPageBreak/>
                    <w:t>may be required from the Department of Transport and Main Roads.</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network is mapped on Overlay map - Road hierarchy. </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network is mapped on Overlay map - Road hierarchy.</w:t>
                  </w:r>
                </w:p>
              </w:tc>
            </w:tr>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QUDM for requirements regarding trafficability</w:t>
                  </w:r>
                  <w:r w:rsidRPr="00201716">
                    <w:rPr>
                      <w:rFonts w:ascii="Arial" w:hAnsi="Arial" w:cs="Arial"/>
                      <w:sz w:val="20"/>
                      <w:szCs w:val="20"/>
                    </w:rPr>
                    <w:t>. </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Culverts and causeways do not increase inundation levels or increase velocities, for all events up to the defined flood event, to upstream or downstream properties.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3" w:name="_Hlk26875135"/>
            <w:bookmarkEnd w:id="2"/>
            <w:r w:rsidRPr="00201716">
              <w:rPr>
                <w:rStyle w:val="Strong"/>
                <w:rFonts w:ascii="Arial" w:hAnsi="Arial" w:cs="Arial"/>
                <w:sz w:val="20"/>
                <w:szCs w:val="20"/>
              </w:rPr>
              <w:t>Street design and layout</w:t>
            </w:r>
          </w:p>
        </w:tc>
      </w:tr>
      <w:tr w:rsidR="003754F8" w:rsidRPr="00201716" w:rsidTr="00A25512">
        <w:trPr>
          <w:gridAfter w:val="2"/>
          <w:wAfter w:w="48" w:type="dxa"/>
          <w:tblCellSpacing w:w="15" w:type="dxa"/>
        </w:trPr>
        <w:tc>
          <w:tcPr>
            <w:tcW w:w="3789" w:type="dxa"/>
            <w:gridSpan w:val="9"/>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access to premises by providing convenient vehicular movement for residents between their homes and the major road network;</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safe and convenient pedestrian and cycle movement;</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adequate on street parking;</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stormwater drainage paths and treatment facilities;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lastRenderedPageBreak/>
              <w:t>efficient public transport routes;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utility services location;</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emergency access and waste collection;</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setting and approach (streetscape, landscaping and street furniture) for adjoining residences;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expected traffic speeds and volumes; and</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Environmental areas and corridors for examples of when and where wildlife movement infrastructure is required.</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89" w:type="dxa"/>
            <w:gridSpan w:val="9"/>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 xml:space="preserve">Development is within 200m of a transport sensitive location such as a school, shopping centre, bus or </w:t>
                  </w:r>
                  <w:r w:rsidRPr="005E31D7">
                    <w:rPr>
                      <w:rFonts w:ascii="Arial" w:hAnsi="Arial" w:cs="Arial"/>
                      <w:sz w:val="18"/>
                      <w:szCs w:val="20"/>
                    </w:rPr>
                    <w:lastRenderedPageBreak/>
                    <w:t>train station or a large generator of pedestrian or vehicular traffic;</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access onto a sub arterial, or arterial road or within 100m of a signalised intersection;</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Residential development greater than 50 lots or dwellings;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Offices greater than 4,000m</w:t>
                  </w:r>
                  <w:r w:rsidRPr="005E31D7">
                    <w:rPr>
                      <w:rFonts w:ascii="Arial" w:hAnsi="Arial" w:cs="Arial"/>
                      <w:sz w:val="18"/>
                      <w:szCs w:val="20"/>
                      <w:vertAlign w:val="superscript"/>
                    </w:rPr>
                    <w:t>2</w:t>
                  </w:r>
                  <w:r w:rsidRPr="005E31D7">
                    <w:rPr>
                      <w:rFonts w:ascii="Arial" w:hAnsi="Arial" w:cs="Arial"/>
                      <w:sz w:val="18"/>
                      <w:szCs w:val="20"/>
                    </w:rPr>
                    <w:t> Gross Floor Area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Retail activities including Hardware and trade supplies, Showroom, Shop or Shopping centre greater than 1,000m</w:t>
                  </w:r>
                  <w:r w:rsidRPr="005E31D7">
                    <w:rPr>
                      <w:rFonts w:ascii="Arial" w:hAnsi="Arial" w:cs="Arial"/>
                      <w:sz w:val="18"/>
                      <w:szCs w:val="20"/>
                      <w:vertAlign w:val="superscript"/>
                    </w:rPr>
                    <w:t>2</w:t>
                  </w:r>
                  <w:r w:rsidRPr="005E31D7">
                    <w:rPr>
                      <w:rFonts w:ascii="Arial" w:hAnsi="Arial" w:cs="Arial"/>
                      <w:sz w:val="18"/>
                      <w:szCs w:val="20"/>
                    </w:rPr>
                    <w:t>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Warehouses and Industry greater than 6,000m</w:t>
                  </w:r>
                  <w:r w:rsidRPr="005E31D7">
                    <w:rPr>
                      <w:rStyle w:val="Emphasis"/>
                      <w:rFonts w:ascii="Arial" w:hAnsi="Arial" w:cs="Arial"/>
                      <w:sz w:val="18"/>
                      <w:szCs w:val="20"/>
                      <w:vertAlign w:val="superscript"/>
                    </w:rPr>
                    <w:t>2</w:t>
                  </w:r>
                  <w:r w:rsidRPr="005E31D7">
                    <w:rPr>
                      <w:rFonts w:ascii="Arial" w:hAnsi="Arial" w:cs="Arial"/>
                      <w:sz w:val="18"/>
                      <w:szCs w:val="20"/>
                    </w:rPr>
                    <w:t>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On-site carpark greater than 100 spaces;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has a trip generation rate of 100 vehicles or more within the peak hour;</w:t>
                  </w:r>
                </w:p>
                <w:p w:rsidR="003754F8" w:rsidRPr="00201716" w:rsidRDefault="003754F8" w:rsidP="003754F8">
                  <w:pPr>
                    <w:numPr>
                      <w:ilvl w:val="0"/>
                      <w:numId w:val="20"/>
                    </w:numPr>
                    <w:spacing w:before="100" w:beforeAutospacing="1" w:after="100" w:afterAutospacing="1"/>
                    <w:rPr>
                      <w:rFonts w:ascii="Arial" w:hAnsi="Arial" w:cs="Arial"/>
                      <w:sz w:val="20"/>
                      <w:szCs w:val="20"/>
                    </w:rPr>
                  </w:pPr>
                  <w:r w:rsidRPr="005E31D7">
                    <w:rPr>
                      <w:rFonts w:ascii="Arial" w:hAnsi="Arial" w:cs="Arial"/>
                      <w:sz w:val="18"/>
                      <w:szCs w:val="20"/>
                    </w:rPr>
                    <w:t>Development which dissects or significantly impacts on an environmental area or an environmental corridor.</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lastRenderedPageBreak/>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w:t>
                  </w:r>
                  <w:r w:rsidRPr="005E31D7">
                    <w:rPr>
                      <w:rFonts w:ascii="Arial" w:hAnsi="Arial" w:cs="Arial"/>
                      <w:sz w:val="18"/>
                      <w:szCs w:val="20"/>
                    </w:rPr>
                    <w:lastRenderedPageBreak/>
                    <w:t>assess the ultimate developed catchment’s impacts and necessary ameliorative works, and the works or contribution required by the applicant as identified in the study.</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network is mapped on Overlay map - Road hierarchy.</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primary and secondary active transport network is mapped on Overlay map - Active transport.</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turns vehicular access to existing lots is to be retained at new road intersections wherever practicable.</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Existing on-street parking is to be retained at new road intersections and along road frontages wherever practicable.</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Existing intersections external to the site are upgraded as necessary to accommodate increased traffic from the development.  Design is in accordance with Planning scheme </w:t>
            </w:r>
            <w:r w:rsidRPr="00201716">
              <w:rPr>
                <w:rFonts w:ascii="Arial" w:hAnsi="Arial" w:cs="Arial"/>
                <w:sz w:val="20"/>
                <w:szCs w:val="20"/>
              </w:rPr>
              <w:lastRenderedPageBreak/>
              <w:t>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turns vehicular access to existing lots is to be retained at new road intersections wherever practicable.</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Existing on-street parking is to be retained at upgraded road intersections and along road frontages wherever practicable.</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E27.3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active transport network is extended in accordance with Planning scheme policy - Integrated design.</w:t>
            </w:r>
          </w:p>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Frontage roads include streets where no direct lot access is provided.</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network is mapped on Overlay map - Road hierarchy.</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Primary and Secondary active transport network is mapped on Overlay map - Active transport.</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917"/>
              <w:gridCol w:w="2918"/>
              <w:gridCol w:w="50"/>
            </w:tblGrid>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Minimum construction</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unconstructed or gravel road only;</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OR</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sealed but not constructed* to Planning scheme policy - Integrated design standard;</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OR</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minimum total travel lane width is:</w:t>
                  </w:r>
                </w:p>
                <w:p w:rsidR="003754F8" w:rsidRPr="00201716" w:rsidRDefault="003754F8" w:rsidP="003754F8">
                  <w:pPr>
                    <w:numPr>
                      <w:ilvl w:val="0"/>
                      <w:numId w:val="21"/>
                    </w:numPr>
                    <w:spacing w:before="100" w:beforeAutospacing="1" w:after="100" w:afterAutospacing="1"/>
                    <w:rPr>
                      <w:rFonts w:ascii="Arial" w:hAnsi="Arial" w:cs="Arial"/>
                      <w:sz w:val="20"/>
                      <w:szCs w:val="20"/>
                    </w:rPr>
                  </w:pPr>
                  <w:r w:rsidRPr="00201716">
                    <w:rPr>
                      <w:rFonts w:ascii="Arial" w:hAnsi="Arial" w:cs="Arial"/>
                      <w:sz w:val="20"/>
                      <w:szCs w:val="20"/>
                    </w:rPr>
                    <w:t>6m for minor roads;</w:t>
                  </w:r>
                </w:p>
                <w:p w:rsidR="003754F8" w:rsidRPr="00201716" w:rsidRDefault="003754F8" w:rsidP="003754F8">
                  <w:pPr>
                    <w:numPr>
                      <w:ilvl w:val="0"/>
                      <w:numId w:val="21"/>
                    </w:numPr>
                    <w:spacing w:before="100" w:beforeAutospacing="1" w:after="100" w:afterAutospacing="1"/>
                    <w:rPr>
                      <w:rFonts w:ascii="Arial" w:hAnsi="Arial" w:cs="Arial"/>
                      <w:sz w:val="20"/>
                      <w:szCs w:val="20"/>
                    </w:rPr>
                  </w:pPr>
                  <w:r w:rsidRPr="00201716">
                    <w:rPr>
                      <w:rFonts w:ascii="Arial" w:hAnsi="Arial" w:cs="Arial"/>
                      <w:sz w:val="20"/>
                      <w:szCs w:val="20"/>
                    </w:rPr>
                    <w:t>7m for major roads.</w:t>
                  </w:r>
                </w:p>
                <w:p w:rsidR="003754F8" w:rsidRPr="00201716" w:rsidRDefault="003754F8" w:rsidP="00510260">
                  <w:pPr>
                    <w:rPr>
                      <w:rFonts w:ascii="Arial" w:eastAsia="Times New Roman" w:hAnsi="Arial" w:cs="Arial"/>
                      <w:sz w:val="20"/>
                      <w:szCs w:val="20"/>
                    </w:rPr>
                  </w:pPr>
                </w:p>
              </w:tc>
            </w:tr>
            <w:tr w:rsidR="003754F8" w:rsidRPr="005E31D7" w:rsidTr="00510260">
              <w:tblPrEx>
                <w:tblBorders>
                  <w:top w:val="none" w:sz="0" w:space="0" w:color="auto"/>
                  <w:left w:val="none" w:sz="0" w:space="0" w:color="auto"/>
                  <w:bottom w:val="none" w:sz="0" w:space="0" w:color="auto"/>
                  <w:right w:val="none" w:sz="0" w:space="0" w:color="auto"/>
                </w:tblBorders>
              </w:tblPrEx>
              <w:trPr>
                <w:tblCellSpacing w:w="15" w:type="dxa"/>
              </w:trPr>
              <w:tc>
                <w:tcPr>
                  <w:tcW w:w="6075" w:type="dxa"/>
                  <w:gridSpan w:val="4"/>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lastRenderedPageBreak/>
                    <w:t>Note - Major roads are sub-arterial roads and arterial roads.  Minor roads are roads that are not major roads.</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Construction includes all associated works (services, street lighting and linemarking).</w:t>
                  </w:r>
                </w:p>
              </w:tc>
            </w:tr>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Alignment within road reserves is to be agreed with Council.</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4" w:name="_Hlk26875202"/>
            <w:bookmarkEnd w:id="3"/>
            <w:r w:rsidRPr="00201716">
              <w:rPr>
                <w:rStyle w:val="Strong"/>
                <w:rFonts w:ascii="Arial" w:hAnsi="Arial" w:cs="Arial"/>
                <w:sz w:val="20"/>
                <w:szCs w:val="20"/>
              </w:rPr>
              <w:t>Stormwater</w:t>
            </w:r>
          </w:p>
        </w:tc>
      </w:tr>
      <w:tr w:rsidR="003754F8" w:rsidRPr="00201716" w:rsidTr="00A25512">
        <w:trPr>
          <w:gridAfter w:val="2"/>
          <w:wAfter w:w="48" w:type="dxa"/>
          <w:tblCellSpacing w:w="15" w:type="dxa"/>
        </w:trPr>
        <w:tc>
          <w:tcPr>
            <w:tcW w:w="3759" w:type="dxa"/>
            <w:gridSpan w:val="8"/>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capacity of all minor drainage systems are designed in accordance with Planning scheme policy - Integrated design. </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network capacity is to be calculated in accordance with the Hydraulic Grade Line method as detailed in Australian Rainfall and Runoff or QUDM.</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is provided in accordance with the relevant level as identified in QUDM.</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Major stormwater drainage system(s) have the capacity to safely convey stormwater flows for the 1% AEP event for the fully developed upstream catchment.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E30.1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The internal drainage system safely and adequately conveys the stormwater flows for the 1% AEP event for the fully developed upstream catchment through the site.</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81"/>
            </w:tblGrid>
            <w:tr w:rsidR="003754F8" w:rsidRPr="00201716" w:rsidTr="00510260">
              <w:trPr>
                <w:tblCellSpacing w:w="15" w:type="dxa"/>
              </w:trPr>
              <w:tc>
                <w:tcPr>
                  <w:tcW w:w="6091"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QUDM for recommended average flow velocities.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w:t>
            </w:r>
            <w:r w:rsidRPr="00201716">
              <w:rPr>
                <w:rFonts w:ascii="Arial" w:hAnsi="Arial" w:cs="Arial"/>
                <w:sz w:val="20"/>
                <w:szCs w:val="20"/>
              </w:rPr>
              <w:lastRenderedPageBreak/>
              <w:t>relief path for flows exceeding the design flows for any underground system within the development.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stormwater drainage system is designed and constructed in accordance with Planning scheme policy - Integrated design.</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Integrated design for details.</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5E31D7">
                    <w:rPr>
                      <w:rFonts w:ascii="Arial" w:hAnsi="Arial" w:cs="Arial"/>
                      <w:sz w:val="18"/>
                      <w:szCs w:val="20"/>
                    </w:rPr>
                    <w:br/>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Note - A downstream drainage discharge report in accordance </w:t>
                  </w:r>
                  <w:r w:rsidRPr="00201716">
                    <w:rPr>
                      <w:rFonts w:ascii="Arial" w:hAnsi="Arial" w:cs="Arial"/>
                      <w:sz w:val="20"/>
                      <w:szCs w:val="20"/>
                    </w:rPr>
                    <w:lastRenderedPageBreak/>
                    <w:t>with Planning scheme policy - Stormwater management may be required to demonstrate achievement of this performance outcome.</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development:</w:t>
            </w:r>
          </w:p>
          <w:p w:rsidR="003754F8" w:rsidRPr="00201716" w:rsidRDefault="003754F8" w:rsidP="003754F8">
            <w:pPr>
              <w:numPr>
                <w:ilvl w:val="0"/>
                <w:numId w:val="22"/>
              </w:numPr>
              <w:spacing w:before="100" w:beforeAutospacing="1" w:after="100" w:afterAutospacing="1"/>
              <w:rPr>
                <w:rFonts w:ascii="Arial" w:hAnsi="Arial" w:cs="Arial"/>
                <w:sz w:val="20"/>
                <w:szCs w:val="20"/>
              </w:rPr>
            </w:pPr>
            <w:r w:rsidRPr="00201716">
              <w:rPr>
                <w:rFonts w:ascii="Arial" w:hAnsi="Arial" w:cs="Arial"/>
                <w:sz w:val="20"/>
                <w:szCs w:val="20"/>
              </w:rPr>
              <w:t>is for an urban purpose that involves a land area of 2500m</w:t>
            </w:r>
            <w:r w:rsidRPr="00201716">
              <w:rPr>
                <w:rFonts w:ascii="Arial" w:hAnsi="Arial" w:cs="Arial"/>
                <w:sz w:val="20"/>
                <w:szCs w:val="20"/>
                <w:vertAlign w:val="superscript"/>
              </w:rPr>
              <w:t>2</w:t>
            </w:r>
            <w:r w:rsidRPr="00201716">
              <w:rPr>
                <w:rFonts w:ascii="Arial" w:hAnsi="Arial" w:cs="Arial"/>
                <w:sz w:val="20"/>
                <w:szCs w:val="20"/>
              </w:rPr>
              <w:t xml:space="preserve"> or greater; and</w:t>
            </w:r>
          </w:p>
          <w:p w:rsidR="003754F8" w:rsidRPr="00201716" w:rsidRDefault="003754F8" w:rsidP="003754F8">
            <w:pPr>
              <w:numPr>
                <w:ilvl w:val="0"/>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will result in:</w:t>
            </w:r>
          </w:p>
          <w:p w:rsidR="003754F8" w:rsidRPr="00201716" w:rsidRDefault="003754F8" w:rsidP="003754F8">
            <w:pPr>
              <w:numPr>
                <w:ilvl w:val="1"/>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6 or more dwellings; or</w:t>
            </w:r>
          </w:p>
          <w:p w:rsidR="003754F8" w:rsidRPr="00201716" w:rsidRDefault="003754F8" w:rsidP="003754F8">
            <w:pPr>
              <w:numPr>
                <w:ilvl w:val="1"/>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an </w:t>
            </w:r>
            <w:r w:rsidRPr="00201716">
              <w:rPr>
                <w:rFonts w:ascii="Arial" w:hAnsi="Arial" w:cs="Arial"/>
                <w:sz w:val="20"/>
                <w:szCs w:val="20"/>
              </w:rPr>
              <w:t>impervious area greater than 25% of the net developable area,</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Stormwater drainage pipes and structures through or within private land </w:t>
            </w:r>
            <w:r w:rsidRPr="00201716">
              <w:rPr>
                <w:rFonts w:ascii="Arial" w:hAnsi="Arial" w:cs="Arial"/>
                <w:sz w:val="20"/>
                <w:szCs w:val="20"/>
              </w:rPr>
              <w:lastRenderedPageBreak/>
              <w:t>(including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drainage infrastructure (excluding detention and bio-retention systems) through or within private land (including inter-</w:t>
            </w:r>
            <w:r w:rsidRPr="00201716">
              <w:rPr>
                <w:rFonts w:ascii="Arial" w:hAnsi="Arial" w:cs="Arial"/>
                <w:sz w:val="20"/>
                <w:szCs w:val="20"/>
              </w:rPr>
              <w:lastRenderedPageBreak/>
              <w:t>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932"/>
              <w:gridCol w:w="2933"/>
              <w:gridCol w:w="50"/>
            </w:tblGrid>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Minimum easement width (excluding access requirements)</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3.0m</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4.0m</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Easement boundary to be 1m clear of the outside wall of the stormwater pipe (each side). </w:t>
                  </w:r>
                </w:p>
              </w:tc>
            </w:tr>
            <w:tr w:rsidR="003754F8" w:rsidRPr="005E31D7" w:rsidTr="00510260">
              <w:tblPrEx>
                <w:tblBorders>
                  <w:top w:val="none" w:sz="0" w:space="0" w:color="auto"/>
                  <w:left w:val="none" w:sz="0" w:space="0" w:color="auto"/>
                  <w:bottom w:val="none" w:sz="0" w:space="0" w:color="auto"/>
                  <w:right w:val="none" w:sz="0" w:space="0" w:color="auto"/>
                </w:tblBorders>
              </w:tblPrEx>
              <w:trPr>
                <w:tblCellSpacing w:w="15" w:type="dxa"/>
              </w:trPr>
              <w:tc>
                <w:tcPr>
                  <w:tcW w:w="6075" w:type="dxa"/>
                  <w:gridSpan w:val="4"/>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Additional easement width may be required in certain circumstances in order to facilitate maintenance access to the stormwater system. </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8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Integrated design (Appendix C) for easement requirements over open channels.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management facilities (excluding outlets) are located outside of riparian areas and prevent increased channel bed and bank erosion.</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5" w:name="_Hlk26875274"/>
            <w:bookmarkEnd w:id="4"/>
            <w:r w:rsidRPr="00201716">
              <w:rPr>
                <w:rStyle w:val="Strong"/>
                <w:rFonts w:ascii="Arial" w:hAnsi="Arial" w:cs="Arial"/>
                <w:sz w:val="20"/>
                <w:szCs w:val="20"/>
              </w:rPr>
              <w:t>Site works and construction management</w:t>
            </w: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site and any existing structures are maintained in a tidy and safe condition.</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All works on-site are managed to:</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minimise as far as practicable, impacts on adjoining or adjacent premises and the streetscape in regard to erosion and sedimentation, dust, noise, safety and light;</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minimise as far as possible, impacts on the natural environment;</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ensure stormwater discharge is managed in a manner that does not cause actionable nuisance to any person or premises;</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avoid adverse impacts on street trees and their critical root zone.</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E38.1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is not discharged to adjacent properties in a manner that differs significantly from pre-existing conditions;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discharged to adjoining and downstream properties does not cause scour or erosion of any kind;</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discharge rates do not exceed pre-existing conditions;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minimum design storm for all temporary diversion drains and sedimentation basins in accordance with Schedule 10 - Stormwater management design objectives;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ponding or concentration of stormwater does not occur on adjoining properties.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measures are adjusted on-site to maximise their effectiveness.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Dust suppression measures are implemented during soil disturbances and construction works to protect nearby premises from unreasonable dust impacts. </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dust emissions extend beyond the boundaries of the site during soil disturbances and construction works.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haulage route must be identified and approved by Council where imported or exported material is transported to the site via a road of Local Collector standard or less, and:</w:t>
                  </w:r>
                </w:p>
                <w:p w:rsidR="00FF5747" w:rsidRPr="005E31D7" w:rsidRDefault="00FF5747" w:rsidP="00FF5747">
                  <w:pPr>
                    <w:pStyle w:val="ListParagraph"/>
                    <w:numPr>
                      <w:ilvl w:val="0"/>
                      <w:numId w:val="62"/>
                    </w:numPr>
                    <w:rPr>
                      <w:rFonts w:ascii="Arial" w:hAnsi="Arial" w:cs="Arial"/>
                      <w:sz w:val="18"/>
                      <w:szCs w:val="20"/>
                    </w:rPr>
                  </w:pPr>
                  <w:r w:rsidRPr="005E31D7">
                    <w:rPr>
                      <w:rFonts w:ascii="Arial" w:hAnsi="Arial" w:cs="Arial"/>
                      <w:sz w:val="18"/>
                      <w:szCs w:val="20"/>
                    </w:rPr>
                    <w:t>the aggregate volume of imported or exported material is greater than 1000m3; or</w:t>
                  </w:r>
                </w:p>
                <w:p w:rsidR="00FF5747" w:rsidRPr="005E31D7" w:rsidRDefault="00FF5747" w:rsidP="00FF5747">
                  <w:pPr>
                    <w:pStyle w:val="ListParagraph"/>
                    <w:numPr>
                      <w:ilvl w:val="0"/>
                      <w:numId w:val="62"/>
                    </w:numPr>
                    <w:rPr>
                      <w:rFonts w:ascii="Arial" w:hAnsi="Arial" w:cs="Arial"/>
                      <w:sz w:val="18"/>
                      <w:szCs w:val="20"/>
                    </w:rPr>
                  </w:pPr>
                  <w:r w:rsidRPr="005E31D7">
                    <w:rPr>
                      <w:rFonts w:ascii="Arial" w:hAnsi="Arial" w:cs="Arial"/>
                      <w:sz w:val="18"/>
                      <w:szCs w:val="20"/>
                    </w:rPr>
                    <w:lastRenderedPageBreak/>
                    <w:t>the aggregate volume of imported or exported material is greater than 200m3 per day; or</w:t>
                  </w:r>
                </w:p>
                <w:p w:rsidR="003754F8" w:rsidRPr="005E31D7" w:rsidRDefault="00FF5747" w:rsidP="00FF5747">
                  <w:pPr>
                    <w:pStyle w:val="NormalWeb"/>
                    <w:numPr>
                      <w:ilvl w:val="0"/>
                      <w:numId w:val="62"/>
                    </w:numPr>
                    <w:rPr>
                      <w:rFonts w:ascii="Arial" w:hAnsi="Arial" w:cs="Arial"/>
                      <w:sz w:val="18"/>
                      <w:szCs w:val="20"/>
                    </w:rPr>
                  </w:pPr>
                  <w:r w:rsidRPr="005E31D7">
                    <w:rPr>
                      <w:rFonts w:ascii="Arial" w:hAnsi="Arial" w:cs="Arial"/>
                      <w:sz w:val="18"/>
                      <w:szCs w:val="20"/>
                    </w:rPr>
                    <w:t>the proposed haulage route involves a vulnerable land use or shopping centre.</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dilapidation report (including photographs) may be required for the haulage route to demonstrate compliance with this PO.</w:t>
                  </w:r>
                </w:p>
              </w:tc>
            </w:tr>
            <w:tr w:rsidR="003754F8" w:rsidRPr="005E31D7"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Editor's note - Where associated with a State-controlled road, further requirements may apply, and approval may be required from the Department of Transport and Main Roads.</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E40.1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3754F8" w:rsidRPr="00201716" w:rsidRDefault="003754F8" w:rsidP="00510260">
            <w:pPr>
              <w:spacing w:after="240"/>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Any material dropped, deposited or spilled on the road(s) as a result of construction processes associated with the site are to be cleaned at all times.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hierarchy is mapped on Overlay map - Road hierarchy.</w:t>
                  </w:r>
                </w:p>
              </w:tc>
            </w:tr>
            <w:tr w:rsidR="003754F8" w:rsidRPr="00201716" w:rsidTr="00510260">
              <w:trPr>
                <w:tblCellSpacing w:w="15" w:type="dxa"/>
              </w:trPr>
              <w:tc>
                <w:tcPr>
                  <w:tcW w:w="6088"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dilapidation report may be required to demonstrate compliance with this E.</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to the development site is obtained via an existing lawful access point.</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Integrated design for details.</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At completion of construction all disturbed areas of the site are to be:</w:t>
            </w:r>
          </w:p>
          <w:p w:rsidR="003754F8" w:rsidRPr="00201716" w:rsidRDefault="003754F8" w:rsidP="003754F8">
            <w:pPr>
              <w:numPr>
                <w:ilvl w:val="0"/>
                <w:numId w:val="26"/>
              </w:numPr>
              <w:spacing w:before="100" w:beforeAutospacing="1" w:after="100" w:afterAutospacing="1"/>
              <w:rPr>
                <w:rFonts w:ascii="Arial" w:hAnsi="Arial" w:cs="Arial"/>
                <w:sz w:val="20"/>
                <w:szCs w:val="20"/>
              </w:rPr>
            </w:pPr>
            <w:r w:rsidRPr="00201716">
              <w:rPr>
                <w:rFonts w:ascii="Arial" w:hAnsi="Arial" w:cs="Arial"/>
                <w:sz w:val="20"/>
                <w:szCs w:val="20"/>
              </w:rPr>
              <w:t>topsoiled with a minimum compacted thickness of fifty (50) millimetres;</w:t>
            </w:r>
          </w:p>
          <w:p w:rsidR="003754F8" w:rsidRPr="00201716" w:rsidRDefault="003754F8" w:rsidP="003754F8">
            <w:pPr>
              <w:numPr>
                <w:ilvl w:val="0"/>
                <w:numId w:val="26"/>
              </w:numPr>
              <w:spacing w:before="100" w:beforeAutospacing="1" w:after="100" w:afterAutospacing="1"/>
              <w:rPr>
                <w:rFonts w:ascii="Arial" w:hAnsi="Arial" w:cs="Arial"/>
                <w:sz w:val="20"/>
                <w:szCs w:val="20"/>
              </w:rPr>
            </w:pPr>
            <w:r w:rsidRPr="00201716">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lastRenderedPageBreak/>
                    <w:t>Note - These areas are to be maintained during any maintenance period to maximise grass coverage.</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Soil disturbances are staged into manageable areas of not greater than 3.5 ha.</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clearing of vegetation on-site:</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is limited to the area of infrastructure works, building areas and other necessary areas for the works; and</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includes the removal of declared weeds and other materials which are detrimental to the intended use of the land;</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No burning of cleared vegetation is permitted.</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No parking of vehicles or storage of machinery or goods is to occur in these areas during development works.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Disposal of materials is managed in one or more of the following ways:</w:t>
            </w:r>
          </w:p>
          <w:p w:rsidR="003754F8" w:rsidRPr="00201716" w:rsidRDefault="003754F8" w:rsidP="003754F8">
            <w:pPr>
              <w:numPr>
                <w:ilvl w:val="0"/>
                <w:numId w:val="28"/>
              </w:numPr>
              <w:spacing w:before="100" w:beforeAutospacing="1" w:after="100" w:afterAutospacing="1"/>
              <w:rPr>
                <w:rFonts w:ascii="Arial" w:hAnsi="Arial" w:cs="Arial"/>
                <w:sz w:val="20"/>
                <w:szCs w:val="20"/>
              </w:rPr>
            </w:pPr>
            <w:r w:rsidRPr="00201716">
              <w:rPr>
                <w:rFonts w:ascii="Arial" w:hAnsi="Arial" w:cs="Arial"/>
                <w:sz w:val="20"/>
                <w:szCs w:val="20"/>
              </w:rPr>
              <w:t>all cleared vegetation, declared weeds, stumps, rubbish, car bodies, scrap metal and the like are removed and disposed of in a Council land fill facility; or</w:t>
            </w:r>
          </w:p>
          <w:p w:rsidR="003754F8" w:rsidRPr="00201716" w:rsidRDefault="003754F8" w:rsidP="003754F8">
            <w:pPr>
              <w:numPr>
                <w:ilvl w:val="0"/>
                <w:numId w:val="28"/>
              </w:numPr>
              <w:spacing w:before="100" w:beforeAutospacing="1" w:after="100" w:afterAutospacing="1"/>
              <w:rPr>
                <w:rFonts w:ascii="Arial" w:hAnsi="Arial" w:cs="Arial"/>
                <w:sz w:val="20"/>
                <w:szCs w:val="20"/>
              </w:rPr>
            </w:pPr>
            <w:r w:rsidRPr="00201716">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chipped vegetation must be stored in an</w:t>
                  </w:r>
                  <w:r w:rsidR="00FF5747" w:rsidRPr="005E31D7">
                    <w:rPr>
                      <w:rFonts w:ascii="Arial" w:hAnsi="Arial" w:cs="Arial"/>
                      <w:sz w:val="18"/>
                      <w:szCs w:val="20"/>
                    </w:rPr>
                    <w:t xml:space="preserve"> </w:t>
                  </w:r>
                  <w:r w:rsidRPr="005E31D7">
                    <w:rPr>
                      <w:rFonts w:ascii="Arial" w:hAnsi="Arial" w:cs="Arial"/>
                      <w:sz w:val="18"/>
                      <w:szCs w:val="20"/>
                    </w:rPr>
                    <w:t>approved location.</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All development works are carried out at times which minimise noise impacts to residents.</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E44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All development works are carried out within the following times:</w:t>
            </w:r>
          </w:p>
          <w:p w:rsidR="003754F8" w:rsidRPr="00201716" w:rsidRDefault="003754F8" w:rsidP="003754F8">
            <w:pPr>
              <w:numPr>
                <w:ilvl w:val="0"/>
                <w:numId w:val="29"/>
              </w:numPr>
              <w:spacing w:before="100" w:beforeAutospacing="1" w:after="100" w:afterAutospacing="1"/>
              <w:rPr>
                <w:rFonts w:ascii="Arial" w:hAnsi="Arial" w:cs="Arial"/>
                <w:sz w:val="20"/>
                <w:szCs w:val="20"/>
              </w:rPr>
            </w:pPr>
            <w:r w:rsidRPr="00201716">
              <w:rPr>
                <w:rFonts w:ascii="Arial" w:hAnsi="Arial" w:cs="Arial"/>
                <w:sz w:val="20"/>
                <w:szCs w:val="20"/>
              </w:rPr>
              <w:t>Monday to Saturday (other than public holidays) between 6:30am and 6:30pm on the same day;</w:t>
            </w:r>
          </w:p>
          <w:p w:rsidR="003754F8" w:rsidRPr="00201716" w:rsidRDefault="003754F8" w:rsidP="003754F8">
            <w:pPr>
              <w:numPr>
                <w:ilvl w:val="0"/>
                <w:numId w:val="29"/>
              </w:numPr>
              <w:spacing w:before="100" w:beforeAutospacing="1" w:after="100" w:afterAutospacing="1"/>
              <w:rPr>
                <w:rFonts w:ascii="Arial" w:hAnsi="Arial" w:cs="Arial"/>
                <w:sz w:val="20"/>
                <w:szCs w:val="20"/>
              </w:rPr>
            </w:pPr>
            <w:r w:rsidRPr="00201716">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6" w:name="_Hlk26875325"/>
            <w:bookmarkEnd w:id="5"/>
            <w:r w:rsidRPr="00201716">
              <w:rPr>
                <w:rStyle w:val="Strong"/>
                <w:rFonts w:ascii="Arial" w:hAnsi="Arial" w:cs="Arial"/>
                <w:sz w:val="20"/>
                <w:szCs w:val="20"/>
              </w:rPr>
              <w:t>Earthworks</w:t>
            </w:r>
          </w:p>
        </w:tc>
      </w:tr>
      <w:tr w:rsidR="00A25512" w:rsidRPr="00201716" w:rsidTr="00A25512">
        <w:trPr>
          <w:gridAfter w:val="2"/>
          <w:wAfter w:w="48" w:type="dxa"/>
          <w:tblCellSpacing w:w="15" w:type="dxa"/>
        </w:trPr>
        <w:tc>
          <w:tcPr>
            <w:tcW w:w="3699" w:type="dxa"/>
            <w:gridSpan w:val="6"/>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earthworks are designed to consider the visual and amenity impact as they relate to:</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the natural topographical features of the site;</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short and long-term slope stability;</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lastRenderedPageBreak/>
              <w:t>soft or compressible foundation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reactive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low density or potentially collapsing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existing fill and soil contamination that may exist on-site;</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the stability and maintenance of steep slopes and batters;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excavation (cut) and fill and impacts on the amenity of adjoining lots (e.g. residential). </w:t>
            </w:r>
          </w:p>
          <w:p w:rsidR="003754F8" w:rsidRPr="00201716" w:rsidRDefault="003754F8" w:rsidP="00510260">
            <w:pPr>
              <w:spacing w:after="240"/>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E46.1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Stabilisation measures are provided, as necessary, to ensure long-term stability and low maintenance of steep slopes and batters. </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Inspection and certification of steep slopes and batters is required by a suitably qualified and experienced RPEQ.</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filling or excavation is contained on-site and is free draining.</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fill placed on-site is:</w:t>
            </w:r>
          </w:p>
          <w:p w:rsidR="003754F8" w:rsidRPr="00201716" w:rsidRDefault="003754F8" w:rsidP="003754F8">
            <w:pPr>
              <w:numPr>
                <w:ilvl w:val="0"/>
                <w:numId w:val="31"/>
              </w:numPr>
              <w:spacing w:before="100" w:beforeAutospacing="1" w:after="100" w:afterAutospacing="1"/>
              <w:rPr>
                <w:rFonts w:ascii="Arial" w:hAnsi="Arial" w:cs="Arial"/>
                <w:sz w:val="20"/>
                <w:szCs w:val="20"/>
              </w:rPr>
            </w:pPr>
            <w:r w:rsidRPr="00201716">
              <w:rPr>
                <w:rFonts w:ascii="Arial" w:hAnsi="Arial" w:cs="Arial"/>
                <w:sz w:val="20"/>
                <w:szCs w:val="20"/>
              </w:rPr>
              <w:t>limited to that area necessary for the approved use;</w:t>
            </w:r>
          </w:p>
          <w:p w:rsidR="003754F8" w:rsidRPr="00201716" w:rsidRDefault="003754F8" w:rsidP="003754F8">
            <w:pPr>
              <w:numPr>
                <w:ilvl w:val="0"/>
                <w:numId w:val="31"/>
              </w:numPr>
              <w:spacing w:before="100" w:beforeAutospacing="1" w:after="100" w:afterAutospacing="1"/>
              <w:rPr>
                <w:rFonts w:ascii="Arial" w:hAnsi="Arial" w:cs="Arial"/>
                <w:sz w:val="20"/>
                <w:szCs w:val="20"/>
              </w:rPr>
            </w:pPr>
            <w:r w:rsidRPr="00201716">
              <w:rPr>
                <w:rFonts w:ascii="Arial" w:hAnsi="Arial" w:cs="Arial"/>
                <w:sz w:val="20"/>
                <w:szCs w:val="20"/>
              </w:rPr>
              <w:t>clean and uncontaminated (i.e. no building waste, concrete, green waste, actual acid sulfate soils, potential acid sulfate soils or contaminated material etc.). </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site is prepared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fill is to be inspected and tested in accordance with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Embankments are stepped, terraced and landscaped to not adversely impact on the visual amenity of the surrounding area.</w:t>
            </w:r>
          </w:p>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E47</w:t>
            </w:r>
          </w:p>
          <w:p w:rsidR="003754F8" w:rsidRDefault="003754F8" w:rsidP="00510260">
            <w:pPr>
              <w:pStyle w:val="NormalWeb"/>
              <w:rPr>
                <w:rFonts w:ascii="Arial" w:hAnsi="Arial" w:cs="Arial"/>
                <w:sz w:val="20"/>
                <w:szCs w:val="20"/>
              </w:rPr>
            </w:pPr>
            <w:r w:rsidRPr="00201716">
              <w:rPr>
                <w:rFonts w:ascii="Arial" w:hAnsi="Arial" w:cs="Arial"/>
                <w:sz w:val="20"/>
                <w:szCs w:val="20"/>
              </w:rPr>
              <w:t>Any embankments more than 1.5 metres in height are stepped, terraced and landscaped.</w:t>
            </w:r>
          </w:p>
          <w:p w:rsidR="005E31D7" w:rsidRPr="00201716" w:rsidRDefault="005E31D7" w:rsidP="005E31D7">
            <w:pPr>
              <w:pStyle w:val="NormalWeb"/>
              <w:jc w:val="center"/>
              <w:rPr>
                <w:rFonts w:ascii="Arial" w:hAnsi="Arial" w:cs="Arial"/>
                <w:sz w:val="20"/>
                <w:szCs w:val="20"/>
              </w:rPr>
            </w:pPr>
            <w:r w:rsidRPr="005E31D7">
              <w:rPr>
                <w:rFonts w:ascii="Arial" w:hAnsi="Arial" w:cs="Arial"/>
                <w:b/>
                <w:bCs/>
                <w:sz w:val="20"/>
                <w:szCs w:val="20"/>
              </w:rPr>
              <w:t>Figure - Embankment</w:t>
            </w:r>
          </w:p>
          <w:p w:rsidR="003754F8" w:rsidRPr="00201716" w:rsidRDefault="005E31D7" w:rsidP="00510260">
            <w:pPr>
              <w:pStyle w:val="NormalWeb"/>
              <w:jc w:val="center"/>
              <w:rPr>
                <w:rFonts w:ascii="Arial" w:hAnsi="Arial" w:cs="Arial"/>
                <w:sz w:val="20"/>
                <w:szCs w:val="20"/>
              </w:rPr>
            </w:pPr>
            <w:r>
              <w:rPr>
                <w:noProof/>
              </w:rPr>
              <w:lastRenderedPageBreak/>
              <w:drawing>
                <wp:inline distT="0" distB="0" distL="0" distR="0" wp14:anchorId="2DBA1A24" wp14:editId="4CDCF337">
                  <wp:extent cx="3855085" cy="1475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5085" cy="1475740"/>
                          </a:xfrm>
                          <a:prstGeom prst="rect">
                            <a:avLst/>
                          </a:prstGeom>
                        </pic:spPr>
                      </pic:pic>
                    </a:graphicData>
                  </a:graphic>
                </wp:inline>
              </w:drawing>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is undertaken in a manner that:</w:t>
            </w:r>
          </w:p>
          <w:p w:rsidR="003754F8" w:rsidRPr="00201716" w:rsidRDefault="003754F8" w:rsidP="003754F8">
            <w:pPr>
              <w:numPr>
                <w:ilvl w:val="0"/>
                <w:numId w:val="32"/>
              </w:numPr>
              <w:spacing w:before="100" w:beforeAutospacing="1" w:after="100" w:afterAutospacing="1"/>
              <w:rPr>
                <w:rFonts w:ascii="Arial" w:hAnsi="Arial" w:cs="Arial"/>
                <w:sz w:val="20"/>
                <w:szCs w:val="20"/>
              </w:rPr>
            </w:pPr>
            <w:r w:rsidRPr="00201716">
              <w:rPr>
                <w:rFonts w:ascii="Arial" w:hAnsi="Arial" w:cs="Arial"/>
                <w:sz w:val="20"/>
                <w:szCs w:val="20"/>
              </w:rPr>
              <w:t>does not adversely impact on a Council or public sector entity maintained infrastructure or any drainage feature on, or adjacent to the land;</w:t>
            </w:r>
          </w:p>
          <w:p w:rsidR="003754F8" w:rsidRPr="00201716" w:rsidRDefault="003754F8" w:rsidP="003754F8">
            <w:pPr>
              <w:numPr>
                <w:ilvl w:val="0"/>
                <w:numId w:val="32"/>
              </w:numPr>
              <w:spacing w:before="100" w:beforeAutospacing="1" w:after="100" w:afterAutospacing="1"/>
              <w:rPr>
                <w:rFonts w:ascii="Arial" w:hAnsi="Arial" w:cs="Arial"/>
                <w:sz w:val="20"/>
                <w:szCs w:val="20"/>
              </w:rPr>
            </w:pPr>
            <w:r w:rsidRPr="00201716">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Public sector entity is defined in Schedule 2 of the Act.</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E48.1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Public sector entity is defined in Schedule 2 of the Act</w:t>
                  </w:r>
                  <w:r w:rsidRPr="00201716">
                    <w:rPr>
                      <w:rFonts w:ascii="Arial" w:hAnsi="Arial" w:cs="Arial"/>
                      <w:sz w:val="20"/>
                      <w:szCs w:val="20"/>
                    </w:rPr>
                    <w:t>.</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E48.2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that would result in any of the following is not carried out on-site:</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a reduction in cover over any Council or public sector entity infrastructure service to less than 600mm;</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Public sector entity is defined in Schedule 2 of the Act.</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building work covered by QDC MP1.4 is excluded from this provision.</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PO49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does not result in:</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adverse impacts on the hydrological and hydraulic capacity of the waterway or floodway;</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increased flood inundation outside the site;</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any reduction in the flood storage capacity in the floodway;</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To demonstrate compliance with this outcome, Planning Scheme Policy - Stormwater Management provides guidance on the preparation of a site based</w:t>
                  </w:r>
                  <w:r w:rsidR="008055DD" w:rsidRPr="005E31D7">
                    <w:rPr>
                      <w:rFonts w:ascii="Arial" w:hAnsi="Arial" w:cs="Arial"/>
                      <w:sz w:val="18"/>
                      <w:szCs w:val="20"/>
                    </w:rPr>
                    <w:t xml:space="preserve"> </w:t>
                  </w:r>
                  <w:r w:rsidRPr="005E31D7">
                    <w:rPr>
                      <w:rFonts w:ascii="Arial" w:hAnsi="Arial" w:cs="Arial"/>
                      <w:sz w:val="18"/>
                      <w:szCs w:val="20"/>
                    </w:rPr>
                    <w:t>stormwater management plan by a suitably qualified professional. Refer to Planning scheme policy - Integrated design for guidance on infrastructure design and modelling requirements.</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and excavation undertaken on the development site are shaped in a manner which does not:</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prevent stormwater surface flow which, prior to commencement of the earthworks, passed onto the development site, from entering the land; or</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redirect stormwater surface flow away from existing flow paths; or</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divert stormwater surface flow onto adjacent land, (other than a road), in a manner which: </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concentrates the flow; or</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increases the flow rates of stormwater over the affected section of the adjacent land above the situation which existed prior to the diversion; or</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causes actionable nuisance to any person, property or premises.</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69"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bookmarkStart w:id="7" w:name="_Hlk26875547"/>
            <w:bookmarkEnd w:id="6"/>
            <w:r w:rsidRPr="00201716">
              <w:rPr>
                <w:rStyle w:val="Strong"/>
                <w:rFonts w:ascii="Arial" w:hAnsi="Arial" w:cs="Arial"/>
                <w:sz w:val="20"/>
                <w:szCs w:val="20"/>
              </w:rPr>
              <w:t>PO52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579"/>
            </w:tblGrid>
            <w:tr w:rsidR="003754F8" w:rsidRPr="00201716" w:rsidTr="00510260">
              <w:trPr>
                <w:tblCellSpacing w:w="15" w:type="dxa"/>
              </w:trPr>
              <w:tc>
                <w:tcPr>
                  <w:tcW w:w="3484"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Residential design for guidance on how to achieve compliance with this performance outcome.</w:t>
                  </w:r>
                </w:p>
              </w:tc>
            </w:tr>
          </w:tbl>
          <w:p w:rsidR="003754F8" w:rsidRPr="00201716" w:rsidRDefault="003754F8" w:rsidP="00510260">
            <w:pPr>
              <w:rPr>
                <w:rFonts w:ascii="Arial" w:eastAsia="Times New Roman" w:hAnsi="Arial" w:cs="Arial"/>
                <w:sz w:val="20"/>
                <w:szCs w:val="20"/>
              </w:rPr>
            </w:pPr>
          </w:p>
        </w:tc>
        <w:tc>
          <w:tcPr>
            <w:tcW w:w="6124"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Earth retaining structures: </w:t>
            </w:r>
          </w:p>
          <w:p w:rsidR="003754F8" w:rsidRPr="00201716" w:rsidRDefault="003754F8" w:rsidP="003754F8">
            <w:pPr>
              <w:numPr>
                <w:ilvl w:val="0"/>
                <w:numId w:val="3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not constructed of boulder rocks or timber;</w:t>
            </w:r>
          </w:p>
          <w:p w:rsidR="003754F8" w:rsidRPr="00201716" w:rsidRDefault="003754F8" w:rsidP="003754F8">
            <w:pPr>
              <w:numPr>
                <w:ilvl w:val="0"/>
                <w:numId w:val="3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no greater than 900mm, are provided in accordance with Figure - Retaining on a boundary;</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t>Figure - Retaining on boundary</w:t>
            </w:r>
          </w:p>
          <w:p w:rsidR="003754F8" w:rsidRPr="00201716"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lastRenderedPageBreak/>
              <w:drawing>
                <wp:inline distT="0" distB="0" distL="0" distR="0" wp14:anchorId="52CDD03A" wp14:editId="3CBA1969">
                  <wp:extent cx="2876550" cy="1838325"/>
                  <wp:effectExtent l="0" t="0" r="0" b="9525"/>
                  <wp:docPr id="29"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3754F8" w:rsidRPr="00201716" w:rsidRDefault="003754F8" w:rsidP="00510260">
            <w:pPr>
              <w:rPr>
                <w:rFonts w:ascii="Arial" w:eastAsia="Times New Roman" w:hAnsi="Arial" w:cs="Arial"/>
                <w:sz w:val="20"/>
                <w:szCs w:val="20"/>
              </w:rPr>
            </w:pPr>
          </w:p>
          <w:p w:rsidR="003754F8" w:rsidRPr="00201716" w:rsidRDefault="003754F8" w:rsidP="003754F8">
            <w:pPr>
              <w:numPr>
                <w:ilvl w:val="0"/>
                <w:numId w:val="3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3754F8" w:rsidRPr="00201716" w:rsidRDefault="003754F8" w:rsidP="003754F8">
            <w:pPr>
              <w:numPr>
                <w:ilvl w:val="0"/>
                <w:numId w:val="3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greater than 1.5m, are to be setback and stepped 1.5m vertical: 1.5m horizontal, terraced, landscaped and drained as shown below.</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t>Figure - Cut</w:t>
            </w:r>
          </w:p>
          <w:p w:rsidR="003754F8"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drawing>
                <wp:inline distT="0" distB="0" distL="0" distR="0" wp14:anchorId="4A6DB0E7" wp14:editId="6D286D00">
                  <wp:extent cx="2876550" cy="2533650"/>
                  <wp:effectExtent l="0" t="0" r="0" b="0"/>
                  <wp:docPr id="30"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5E31D7" w:rsidRPr="00201716" w:rsidRDefault="005E31D7" w:rsidP="005E31D7">
            <w:pPr>
              <w:jc w:val="center"/>
              <w:rPr>
                <w:rFonts w:ascii="Arial" w:eastAsia="Times New Roman" w:hAnsi="Arial" w:cs="Arial"/>
                <w:sz w:val="20"/>
                <w:szCs w:val="20"/>
              </w:rPr>
            </w:pPr>
          </w:p>
          <w:p w:rsidR="003754F8" w:rsidRPr="00201716" w:rsidRDefault="003754F8" w:rsidP="00510260">
            <w:pPr>
              <w:rPr>
                <w:rFonts w:ascii="Arial" w:eastAsia="Times New Roman" w:hAnsi="Arial" w:cs="Arial"/>
                <w:sz w:val="20"/>
                <w:szCs w:val="20"/>
              </w:rPr>
            </w:pPr>
            <w:r w:rsidRPr="00201716">
              <w:rPr>
                <w:rFonts w:ascii="Arial" w:eastAsia="Times New Roman" w:hAnsi="Arial" w:cs="Arial"/>
                <w:sz w:val="20"/>
                <w:szCs w:val="20"/>
              </w:rPr>
              <w:lastRenderedPageBreak/>
              <w:t> </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t>Figure - Fill</w:t>
            </w:r>
          </w:p>
          <w:p w:rsidR="003754F8" w:rsidRPr="00201716"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drawing>
                <wp:inline distT="0" distB="0" distL="0" distR="0" wp14:anchorId="42EA8619" wp14:editId="3A27328B">
                  <wp:extent cx="3360313" cy="2567635"/>
                  <wp:effectExtent l="0" t="0" r="0" b="4445"/>
                  <wp:docPr id="31"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72"/>
                          <a:stretch/>
                        </pic:blipFill>
                        <pic:spPr bwMode="auto">
                          <a:xfrm>
                            <a:off x="0" y="0"/>
                            <a:ext cx="3369936" cy="2574988"/>
                          </a:xfrm>
                          <a:prstGeom prst="rect">
                            <a:avLst/>
                          </a:prstGeom>
                          <a:noFill/>
                          <a:ln>
                            <a:noFill/>
                          </a:ln>
                          <a:extLst>
                            <a:ext uri="{53640926-AAD7-44D8-BBD7-CCE9431645EC}">
                              <a14:shadowObscured xmlns:a14="http://schemas.microsoft.com/office/drawing/2010/main"/>
                            </a:ext>
                          </a:extLst>
                        </pic:spPr>
                      </pic:pic>
                    </a:graphicData>
                  </a:graphic>
                </wp:inline>
              </w:drawing>
            </w:r>
          </w:p>
          <w:p w:rsidR="003754F8" w:rsidRPr="00201716" w:rsidRDefault="003754F8" w:rsidP="00510260">
            <w:pPr>
              <w:spacing w:after="240"/>
              <w:rPr>
                <w:rFonts w:ascii="Arial" w:eastAsia="Times New Roman" w:hAnsi="Arial" w:cs="Arial"/>
                <w:sz w:val="20"/>
                <w:szCs w:val="20"/>
              </w:rPr>
            </w:pPr>
          </w:p>
        </w:tc>
        <w:tc>
          <w:tcPr>
            <w:tcW w:w="2538"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39" w:type="dxa"/>
            <w:gridSpan w:val="3"/>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bookmarkStart w:id="8" w:name="_Hlk26875588"/>
            <w:bookmarkEnd w:id="7"/>
            <w:r w:rsidRPr="00201716">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provisions under this heading only apply if:</w:t>
                  </w:r>
                </w:p>
                <w:p w:rsidR="00A25512" w:rsidRPr="00201716" w:rsidRDefault="00A25512" w:rsidP="003754F8">
                  <w:pPr>
                    <w:numPr>
                      <w:ilvl w:val="0"/>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the development is for, or incorporates:</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reconfiguring a lot for a community title scheme creating 1 or more vacant lots;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2 or more sole occupancy units on the same lot, or within the same community titles scheme;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a Tourist park</w:t>
                  </w:r>
                  <w:r w:rsidRPr="00201716">
                    <w:rPr>
                      <w:rFonts w:ascii="Arial" w:eastAsia="Times New Roman" w:hAnsi="Arial" w:cs="Arial"/>
                      <w:sz w:val="20"/>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01716">
                      <w:rPr>
                        <w:rStyle w:val="Hyperlink"/>
                        <w:rFonts w:ascii="Arial" w:eastAsia="Times New Roman" w:hAnsi="Arial" w:cs="Arial"/>
                        <w:sz w:val="20"/>
                        <w:szCs w:val="20"/>
                        <w:vertAlign w:val="superscript"/>
                      </w:rPr>
                      <w:t>84</w:t>
                    </w:r>
                  </w:hyperlink>
                  <w:r w:rsidRPr="00201716">
                    <w:rPr>
                      <w:rFonts w:ascii="Arial" w:eastAsia="Times New Roman" w:hAnsi="Arial" w:cs="Arial"/>
                      <w:sz w:val="20"/>
                      <w:szCs w:val="20"/>
                      <w:vertAlign w:val="superscript"/>
                    </w:rPr>
                    <w:t>)</w:t>
                  </w:r>
                  <w:r w:rsidRPr="00201716">
                    <w:rPr>
                      <w:rFonts w:ascii="Arial" w:eastAsia="Times New Roman" w:hAnsi="Arial" w:cs="Arial"/>
                      <w:sz w:val="20"/>
                      <w:szCs w:val="20"/>
                    </w:rPr>
                    <w:t xml:space="preserve"> with accommodation in the form of caravans or tents;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outdoor sales</w:t>
                  </w:r>
                  <w:r w:rsidRPr="00201716">
                    <w:rPr>
                      <w:rFonts w:ascii="Arial" w:eastAsia="Times New Roman" w:hAnsi="Arial" w:cs="Arial"/>
                      <w:sz w:val="20"/>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01716">
                      <w:rPr>
                        <w:rStyle w:val="Hyperlink"/>
                        <w:rFonts w:ascii="Arial" w:eastAsia="Times New Roman" w:hAnsi="Arial" w:cs="Arial"/>
                        <w:sz w:val="20"/>
                        <w:szCs w:val="20"/>
                        <w:vertAlign w:val="superscript"/>
                      </w:rPr>
                      <w:t>54</w:t>
                    </w:r>
                  </w:hyperlink>
                  <w:r w:rsidRPr="00201716">
                    <w:rPr>
                      <w:rFonts w:ascii="Arial" w:eastAsia="Times New Roman" w:hAnsi="Arial" w:cs="Arial"/>
                      <w:sz w:val="20"/>
                      <w:szCs w:val="20"/>
                      <w:vertAlign w:val="superscript"/>
                    </w:rPr>
                    <w:t>)</w:t>
                  </w:r>
                  <w:r w:rsidRPr="00201716">
                    <w:rPr>
                      <w:rFonts w:ascii="Arial" w:eastAsia="Times New Roman" w:hAnsi="Arial" w:cs="Arial"/>
                      <w:sz w:val="20"/>
                      <w:szCs w:val="20"/>
                    </w:rPr>
                    <w:t>, outdoor processing or outdoor storage where involving combustible materials.</w:t>
                  </w:r>
                </w:p>
                <w:p w:rsidR="00A25512" w:rsidRPr="00201716" w:rsidRDefault="00A25512" w:rsidP="00510260">
                  <w:pPr>
                    <w:pStyle w:val="NormalWeb"/>
                    <w:rPr>
                      <w:rFonts w:ascii="Arial" w:hAnsi="Arial" w:cs="Arial"/>
                      <w:sz w:val="20"/>
                      <w:szCs w:val="20"/>
                    </w:rPr>
                  </w:pPr>
                  <w:r w:rsidRPr="00201716">
                    <w:rPr>
                      <w:rFonts w:ascii="Arial" w:hAnsi="Arial" w:cs="Arial"/>
                      <w:sz w:val="20"/>
                      <w:szCs w:val="20"/>
                    </w:rPr>
                    <w:t>AND</w:t>
                  </w:r>
                </w:p>
                <w:p w:rsidR="00A25512" w:rsidRPr="00201716" w:rsidRDefault="00A25512" w:rsidP="003754F8">
                  <w:pPr>
                    <w:numPr>
                      <w:ilvl w:val="0"/>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none of the following exceptions apply:</w:t>
                  </w:r>
                </w:p>
                <w:p w:rsidR="00A25512" w:rsidRPr="00201716" w:rsidRDefault="00A25512" w:rsidP="003754F8">
                  <w:pPr>
                    <w:numPr>
                      <w:ilvl w:val="1"/>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the distributor-retailer for the area has indicated, in its netserv plan, that the premises will not be served by that entity’s reticulated water supply; or</w:t>
                  </w:r>
                </w:p>
                <w:p w:rsidR="00A25512" w:rsidRPr="00201716" w:rsidRDefault="00A25512" w:rsidP="003754F8">
                  <w:pPr>
                    <w:numPr>
                      <w:ilvl w:val="1"/>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A25512" w:rsidRPr="00201716" w:rsidTr="00510260">
              <w:trPr>
                <w:tblCellSpacing w:w="15" w:type="dxa"/>
              </w:trPr>
              <w:tc>
                <w:tcPr>
                  <w:tcW w:w="9732" w:type="dxa"/>
                  <w:vAlign w:val="center"/>
                  <w:hideMark/>
                </w:tcPr>
                <w:p w:rsidR="00A25512" w:rsidRPr="00201716" w:rsidRDefault="00A25512" w:rsidP="00510260">
                  <w:pPr>
                    <w:rPr>
                      <w:rFonts w:ascii="Arial" w:eastAsia="Times New Roman" w:hAnsi="Arial" w:cs="Arial"/>
                      <w:sz w:val="20"/>
                      <w:szCs w:val="20"/>
                    </w:rPr>
                  </w:pPr>
                  <w:r w:rsidRPr="00201716">
                    <w:rPr>
                      <w:rFonts w:ascii="Arial" w:eastAsia="Times New Roman"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PO53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incorporates a fire fighting system that:</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satisfies the reasonable needs of the fire fighting entity for the area;</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appropriate for the size, shape and topography of the development and its surrounds;</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compatible with the operational equipment available to the fire fighting entity for the area;</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considers the fire hazard inherent in the materials comprising the development and their proximity to one another;</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considers the fire hazard inherent in the surrounds to the development site;</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External fire hydrant facilities are provided on site to the standard prescribed under the relevant parts of </w:t>
            </w:r>
            <w:r w:rsidRPr="00201716">
              <w:rPr>
                <w:rStyle w:val="Emphasis"/>
                <w:rFonts w:ascii="Arial" w:hAnsi="Arial" w:cs="Arial"/>
                <w:sz w:val="20"/>
                <w:szCs w:val="20"/>
              </w:rPr>
              <w:t>Australian Standard AS 2419.1 (2005) – Fire Hydrant Installations</w:t>
            </w:r>
            <w:r w:rsidRPr="00201716">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For this requirement for accepted development, the following are the relevant parts of AS 2419.1 (2005) that may be applicable:</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in regard to the form of any fire hydrant - Part 8.5 and Part 3.2.2.1, with the exception that for Tourist parks</w:t>
                  </w:r>
                  <w:r w:rsidRPr="005E31D7">
                    <w:rPr>
                      <w:rFonts w:ascii="Arial" w:eastAsia="Times New Roman" w:hAnsi="Arial" w:cs="Arial"/>
                      <w:sz w:val="18"/>
                      <w:szCs w:val="20"/>
                      <w:vertAlign w:val="superscript"/>
                    </w:rPr>
                    <w:t>(</w:t>
                  </w:r>
                  <w:hyperlink r:id="rId13"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5E31D7">
                      <w:rPr>
                        <w:rStyle w:val="Hyperlink"/>
                        <w:rFonts w:ascii="Arial" w:eastAsia="Times New Roman" w:hAnsi="Arial" w:cs="Arial"/>
                        <w:sz w:val="18"/>
                        <w:szCs w:val="20"/>
                        <w:vertAlign w:val="superscript"/>
                      </w:rPr>
                      <w:t>84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in regard to the general locational requirements for fire hydrants - Part 3.2.2.2 (a), (e), (f), (g) and (h) as well as Appendix B of AS 2419.1 (2005);</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in regard to the proximity of hydrants to buildings and other facilities - Part 3.2.2.2 (b), (c) and (d), with the exception that:</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dwellings and their associated outbuildings, hydrant coverage need only extend to the roof and external walls of those buildings;</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caravans and tents, hydrant coverage need only extend to the roof of those tents and caravans;</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outdoor sales</w:t>
                  </w:r>
                  <w:r w:rsidRPr="005E31D7">
                    <w:rPr>
                      <w:rFonts w:ascii="Arial" w:eastAsia="Times New Roman" w:hAnsi="Arial" w:cs="Arial"/>
                      <w:sz w:val="18"/>
                      <w:szCs w:val="20"/>
                      <w:vertAlign w:val="superscript"/>
                    </w:rPr>
                    <w:t>(</w:t>
                  </w:r>
                  <w:hyperlink r:id="rId1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E31D7">
                      <w:rPr>
                        <w:rStyle w:val="Hyperlink"/>
                        <w:rFonts w:ascii="Arial" w:eastAsia="Times New Roman" w:hAnsi="Arial" w:cs="Arial"/>
                        <w:sz w:val="18"/>
                        <w:szCs w:val="20"/>
                        <w:vertAlign w:val="superscript"/>
                      </w:rPr>
                      <w:t>54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processing or storage facilities, hydrant coverage is required across the entire area of the outdoor sales</w:t>
                  </w:r>
                  <w:r w:rsidRPr="005E31D7">
                    <w:rPr>
                      <w:rFonts w:ascii="Arial" w:eastAsia="Times New Roman" w:hAnsi="Arial" w:cs="Arial"/>
                      <w:sz w:val="18"/>
                      <w:szCs w:val="20"/>
                      <w:vertAlign w:val="superscript"/>
                    </w:rPr>
                    <w:t>(</w:t>
                  </w:r>
                  <w:hyperlink r:id="rId1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E31D7">
                      <w:rPr>
                        <w:rStyle w:val="Hyperlink"/>
                        <w:rFonts w:ascii="Arial" w:eastAsia="Times New Roman" w:hAnsi="Arial" w:cs="Arial"/>
                        <w:sz w:val="18"/>
                        <w:szCs w:val="20"/>
                        <w:vertAlign w:val="superscript"/>
                      </w:rPr>
                      <w:t>54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outdoor processing and outdoor storage facilities;</w:t>
                  </w:r>
                </w:p>
                <w:p w:rsidR="003754F8" w:rsidRPr="00201716" w:rsidRDefault="003754F8" w:rsidP="003754F8">
                  <w:pPr>
                    <w:numPr>
                      <w:ilvl w:val="0"/>
                      <w:numId w:val="41"/>
                    </w:numPr>
                    <w:spacing w:before="100" w:beforeAutospacing="1" w:after="100" w:afterAutospacing="1"/>
                    <w:rPr>
                      <w:rFonts w:ascii="Arial" w:eastAsia="Times New Roman" w:hAnsi="Arial" w:cs="Arial"/>
                      <w:sz w:val="20"/>
                      <w:szCs w:val="20"/>
                    </w:rPr>
                  </w:pPr>
                  <w:r w:rsidRPr="005E31D7">
                    <w:rPr>
                      <w:rFonts w:ascii="Arial" w:eastAsia="Times New Roman" w:hAnsi="Arial" w:cs="Arial"/>
                      <w:sz w:val="18"/>
                      <w:szCs w:val="20"/>
                    </w:rPr>
                    <w:t>in regard to fire hydrant accessibility and clearance requirements - Part 3.5 and, where applicable, Part 3.6.</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unobstructed width of no less than 3.5m;</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unobstructed height of no less than 4.8m;</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constructed to be readily traversed by a 17 tonne HRV fire brigade pumping appliance;</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an area for a fire brigade pumping appliance to stand within 20m of each fire hydrant and 8m of each hydrant booster point.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On-site fire hydrant facilities are maintained in effective operating order in a manner prescribed in </w:t>
            </w:r>
            <w:r w:rsidRPr="00201716">
              <w:rPr>
                <w:rStyle w:val="Emphasis"/>
                <w:rFonts w:ascii="Arial" w:hAnsi="Arial" w:cs="Arial"/>
                <w:sz w:val="20"/>
                <w:szCs w:val="20"/>
              </w:rPr>
              <w:t>Australian Standard AS1851 (2012) – Routine service of fire protection systems and equipment</w:t>
            </w:r>
            <w:r w:rsidRPr="00201716">
              <w:rPr>
                <w:rFonts w:ascii="Arial" w:hAnsi="Arial" w:cs="Arial"/>
                <w:sz w:val="20"/>
                <w:szCs w:val="20"/>
              </w:rPr>
              <w: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For development that contains on-site fire hydrants external to buildings:</w:t>
            </w:r>
          </w:p>
          <w:p w:rsidR="003754F8" w:rsidRPr="00201716" w:rsidRDefault="003754F8" w:rsidP="003754F8">
            <w:pPr>
              <w:pStyle w:val="NormalWeb"/>
              <w:numPr>
                <w:ilvl w:val="0"/>
                <w:numId w:val="43"/>
              </w:numPr>
              <w:rPr>
                <w:rFonts w:ascii="Arial" w:hAnsi="Arial" w:cs="Arial"/>
                <w:sz w:val="20"/>
                <w:szCs w:val="20"/>
              </w:rPr>
            </w:pPr>
            <w:r w:rsidRPr="00201716">
              <w:rPr>
                <w:rFonts w:ascii="Arial" w:hAnsi="Arial" w:cs="Arial"/>
                <w:sz w:val="20"/>
                <w:szCs w:val="20"/>
              </w:rPr>
              <w:t>those external hydrants can be seen from the vehicular entry point to the site; or</w:t>
            </w:r>
          </w:p>
          <w:p w:rsidR="003754F8" w:rsidRPr="00201716" w:rsidRDefault="003754F8" w:rsidP="003754F8">
            <w:pPr>
              <w:pStyle w:val="NormalWeb"/>
              <w:numPr>
                <w:ilvl w:val="0"/>
                <w:numId w:val="43"/>
              </w:numPr>
              <w:rPr>
                <w:rFonts w:ascii="Arial" w:hAnsi="Arial" w:cs="Arial"/>
                <w:sz w:val="20"/>
                <w:szCs w:val="20"/>
              </w:rPr>
            </w:pPr>
            <w:r w:rsidRPr="00201716">
              <w:rPr>
                <w:rFonts w:ascii="Arial" w:hAnsi="Arial" w:cs="Arial"/>
                <w:sz w:val="20"/>
                <w:szCs w:val="20"/>
              </w:rPr>
              <w:t>a sign identifying the following is provided at the vehicular entry point to the site:</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the overall layout of the development (to scale);</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internal road names (where used);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all communal facilities (where provided);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the reception area and on-site manager’s office (where provided);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external hydrants and hydrant booster points;</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sign prescribed above, and the graphics used are to be:</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in a form;</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of a size;</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illuminated to a level;</w:t>
                  </w:r>
                </w:p>
                <w:p w:rsidR="003754F8" w:rsidRPr="00201716" w:rsidRDefault="003754F8" w:rsidP="00510260">
                  <w:pPr>
                    <w:pStyle w:val="NormalWeb"/>
                    <w:rPr>
                      <w:rFonts w:ascii="Arial" w:hAnsi="Arial" w:cs="Arial"/>
                      <w:sz w:val="20"/>
                      <w:szCs w:val="20"/>
                    </w:rPr>
                  </w:pPr>
                  <w:r w:rsidRPr="005E31D7">
                    <w:rPr>
                      <w:rFonts w:ascii="Arial" w:hAnsi="Arial" w:cs="Arial"/>
                      <w:sz w:val="18"/>
                      <w:szCs w:val="20"/>
                    </w:rPr>
                    <w:t>which allows the information on the sign to be readily understood, at all times, by a person in a fire fighting appliance up to 4.5m from the sign.</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Each on-site fire hydrant that is external to a building is </w:t>
            </w:r>
            <w:r w:rsidRPr="00201716">
              <w:rPr>
                <w:rFonts w:ascii="Arial" w:hAnsi="Arial" w:cs="Arial"/>
                <w:sz w:val="20"/>
                <w:szCs w:val="20"/>
              </w:rPr>
              <w:lastRenderedPageBreak/>
              <w:t>signposted in a way that enables it to be readily identified at all times by the occupants of any firefighting appliance traversing the development site.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E55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For development that contains on-site fire hydrants external to buildings, those hydrants are identified by way of marker posts and raised reflective </w:t>
            </w:r>
            <w:r w:rsidRPr="00201716">
              <w:rPr>
                <w:rFonts w:ascii="Arial" w:hAnsi="Arial" w:cs="Arial"/>
                <w:sz w:val="20"/>
                <w:szCs w:val="20"/>
              </w:rPr>
              <w:lastRenderedPageBreak/>
              <w:t xml:space="preserve">pavement markers in the manner prescribed in the technical note </w:t>
            </w:r>
            <w:r w:rsidRPr="00201716">
              <w:rPr>
                <w:rStyle w:val="Emphasis"/>
                <w:rFonts w:ascii="Arial" w:hAnsi="Arial" w:cs="Arial"/>
                <w:sz w:val="20"/>
                <w:szCs w:val="20"/>
              </w:rPr>
              <w:t>Fire hydrant indication system</w:t>
            </w:r>
            <w:r w:rsidRPr="00201716">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t>Note - Technical note Fire hydrant indication system is available on the website of the Queensland Department of Transport and Main Roads.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9890" w:type="dxa"/>
            <w:gridSpan w:val="14"/>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jc w:val="center"/>
              <w:rPr>
                <w:rFonts w:ascii="Arial" w:hAnsi="Arial" w:cs="Arial"/>
                <w:sz w:val="20"/>
                <w:szCs w:val="20"/>
              </w:rPr>
            </w:pPr>
            <w:r w:rsidRPr="00201716">
              <w:rPr>
                <w:rStyle w:val="Strong"/>
                <w:rFonts w:ascii="Arial" w:hAnsi="Arial" w:cs="Arial"/>
                <w:sz w:val="20"/>
                <w:szCs w:val="20"/>
              </w:rPr>
              <w:t>Use specific criteria</w:t>
            </w:r>
          </w:p>
        </w:tc>
        <w:tc>
          <w:tcPr>
            <w:tcW w:w="2525" w:type="dxa"/>
            <w:gridSpan w:val="6"/>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jc w:val="center"/>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jc w:val="center"/>
              <w:rPr>
                <w:rStyle w:val="Strong"/>
                <w:rFonts w:ascii="Arial" w:hAnsi="Arial" w:cs="Arial"/>
                <w:sz w:val="20"/>
                <w:szCs w:val="20"/>
              </w:rPr>
            </w:pPr>
          </w:p>
        </w:tc>
      </w:tr>
      <w:tr w:rsidR="003754F8" w:rsidRPr="00201716" w:rsidTr="00A25512">
        <w:trPr>
          <w:gridAfter w:val="2"/>
          <w:wAfter w:w="48" w:type="dxa"/>
          <w:tblCellSpacing w:w="15" w:type="dxa"/>
        </w:trPr>
        <w:tc>
          <w:tcPr>
            <w:tcW w:w="9890" w:type="dxa"/>
            <w:gridSpan w:val="14"/>
            <w:tcBorders>
              <w:top w:val="outset" w:sz="6" w:space="0" w:color="auto"/>
              <w:left w:val="outset" w:sz="6" w:space="0" w:color="auto"/>
              <w:bottom w:val="outset" w:sz="6" w:space="0" w:color="auto"/>
              <w:right w:val="outset" w:sz="6" w:space="0" w:color="auto"/>
            </w:tcBorders>
            <w:shd w:val="clear" w:color="auto" w:fill="CCCCCC"/>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Redcliffe Activity Centre Strategy</w:t>
            </w:r>
          </w:p>
        </w:tc>
        <w:tc>
          <w:tcPr>
            <w:tcW w:w="2525" w:type="dxa"/>
            <w:gridSpan w:val="6"/>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compromise opportunities that may be identified in the Redcliffe activity centre strategy.</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rHeight w:val="330"/>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Style w:val="Strong"/>
                <w:rFonts w:ascii="Arial" w:hAnsi="Arial" w:cs="Arial"/>
                <w:sz w:val="20"/>
                <w:szCs w:val="20"/>
              </w:rPr>
            </w:pPr>
            <w:r w:rsidRPr="00201716">
              <w:rPr>
                <w:rStyle w:val="Strong"/>
                <w:rFonts w:ascii="Arial" w:hAnsi="Arial" w:cs="Arial"/>
                <w:sz w:val="20"/>
                <w:szCs w:val="20"/>
              </w:rPr>
              <w:t>Major electricity infrastructure, substation and utility installation</w:t>
            </w:r>
            <w:r w:rsidRPr="00201716">
              <w:rPr>
                <w:rFonts w:ascii="Arial" w:hAnsi="Arial" w:cs="Arial"/>
                <w:sz w:val="20"/>
                <w:szCs w:val="20"/>
                <w:vertAlign w:val="superscript"/>
              </w:rPr>
              <w:t>(</w:t>
            </w:r>
            <w:hyperlink r:id="rId16" w:anchor="target-d768251e572573" w:tooltip="Utility installation - Premises used to provide the public with the following services:" w:history="1">
              <w:r w:rsidRPr="00201716">
                <w:rPr>
                  <w:rStyle w:val="Hyperlink"/>
                  <w:rFonts w:ascii="Arial" w:hAnsi="Arial" w:cs="Arial"/>
                  <w:sz w:val="20"/>
                  <w:szCs w:val="20"/>
                  <w:vertAlign w:val="superscript"/>
                </w:rPr>
                <w:t>86</w:t>
              </w:r>
            </w:hyperlink>
            <w:r w:rsidRPr="00201716">
              <w:rPr>
                <w:rFonts w:ascii="Arial" w:hAnsi="Arial" w:cs="Arial"/>
                <w:sz w:val="20"/>
                <w:szCs w:val="20"/>
                <w:vertAlign w:val="superscript"/>
              </w:rPr>
              <w:t>)</w:t>
            </w: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does not have an adverse impact on the visual amenity of a locality and is:</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high quality design and construction;</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visually integrated with the surrounding area;</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visually dominant or intrusive;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located behind the main building line;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below the level of the predominant tree canopy or the level of the surrounding buildings and structures;</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camouflaged through the use of colours and </w:t>
            </w:r>
            <w:r w:rsidRPr="00201716">
              <w:rPr>
                <w:rFonts w:ascii="Arial" w:eastAsia="Times New Roman" w:hAnsi="Arial" w:cs="Arial"/>
                <w:sz w:val="20"/>
                <w:szCs w:val="20"/>
              </w:rPr>
              <w:lastRenderedPageBreak/>
              <w:t>materials which blend into the landscape;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treated to eliminate glare and reflectivity;</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landscaped;</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otherwise consistent with the amenity and character of the zone and surrounding area.</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E57.1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minimise surrounding land use conflicts by ensuring infrastructure, buildings, structures and other equipment:</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enclosed within buildings or structures;</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located behind the main building line;</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have a similar height, bulk and scale to the surrounding fabric;</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have horizontal and vertical articulation applied to all exterior walls.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3m wide strip of dense planting is provided around the outside of the fenced area, between the development and street frontage, side and rear boundaries.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Infrastructure does not have an impact on pedestrian health and safety.</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control arrangements:</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create dead-ends or dark alleyways adjacent to the infrastructure;</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minimise the number and width of crossovers and entry points;</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provide safe vehicular access to the site;</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utilise barbed wire or razor wire.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activities associated with the development occur within an environment incorporating sufficient controls to ensure the facility:</w:t>
            </w:r>
          </w:p>
          <w:p w:rsidR="003754F8" w:rsidRPr="00201716" w:rsidRDefault="003754F8" w:rsidP="003754F8">
            <w:pPr>
              <w:numPr>
                <w:ilvl w:val="0"/>
                <w:numId w:val="4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generates no audible sound at the site boundaries where in a residential setting; or</w:t>
            </w:r>
          </w:p>
          <w:p w:rsidR="003754F8" w:rsidRPr="00201716" w:rsidRDefault="003754F8" w:rsidP="003754F8">
            <w:pPr>
              <w:numPr>
                <w:ilvl w:val="0"/>
                <w:numId w:val="4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meet the objectives as set out in the Environmental Protection (Noise) Policy 2008.</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lastRenderedPageBreak/>
              <w:t>Telecommunications facility</w:t>
            </w:r>
            <w:r w:rsidRPr="00201716">
              <w:rPr>
                <w:rFonts w:ascii="Arial" w:hAnsi="Arial" w:cs="Arial"/>
                <w:sz w:val="20"/>
                <w:szCs w:val="20"/>
                <w:vertAlign w:val="superscript"/>
              </w:rPr>
              <w:t>(</w:t>
            </w:r>
            <w:hyperlink r:id="rId17"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 xml:space="preserve">Editor's note - In accordance with the Federal legislation Telecommunications facilities </w:t>
                  </w:r>
                  <w:r w:rsidRPr="00201716">
                    <w:rPr>
                      <w:rFonts w:ascii="Arial" w:hAnsi="Arial" w:cs="Arial"/>
                      <w:sz w:val="20"/>
                      <w:szCs w:val="20"/>
                      <w:vertAlign w:val="superscript"/>
                    </w:rPr>
                    <w:t>(</w:t>
                  </w:r>
                  <w:hyperlink r:id="rId18"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Telecommunications facilities</w:t>
            </w:r>
            <w:r w:rsidRPr="00201716">
              <w:rPr>
                <w:rFonts w:ascii="Arial" w:hAnsi="Arial" w:cs="Arial"/>
                <w:sz w:val="20"/>
                <w:szCs w:val="20"/>
                <w:vertAlign w:val="superscript"/>
              </w:rPr>
              <w:t>(</w:t>
            </w:r>
            <w:hyperlink r:id="rId19"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are co-located with existing telecommunications facilities</w:t>
            </w:r>
            <w:r w:rsidRPr="00201716">
              <w:rPr>
                <w:rFonts w:ascii="Arial" w:hAnsi="Arial" w:cs="Arial"/>
                <w:sz w:val="20"/>
                <w:szCs w:val="20"/>
                <w:vertAlign w:val="superscript"/>
              </w:rPr>
              <w:t>(</w:t>
            </w:r>
            <w:hyperlink r:id="rId20"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Utility installation</w:t>
            </w:r>
            <w:r w:rsidRPr="00201716">
              <w:rPr>
                <w:rFonts w:ascii="Arial" w:hAnsi="Arial" w:cs="Arial"/>
                <w:sz w:val="20"/>
                <w:szCs w:val="20"/>
                <w:vertAlign w:val="superscript"/>
              </w:rPr>
              <w:t>(</w:t>
            </w:r>
            <w:hyperlink r:id="rId21" w:anchor="target-d768251e572573" w:tooltip="Utility installation - Premises used to provide the public with the following services:" w:history="1">
              <w:r w:rsidRPr="00201716">
                <w:rPr>
                  <w:rStyle w:val="Hyperlink"/>
                  <w:rFonts w:ascii="Arial" w:hAnsi="Arial" w:cs="Arial"/>
                  <w:sz w:val="20"/>
                  <w:szCs w:val="20"/>
                  <w:vertAlign w:val="superscript"/>
                </w:rPr>
                <w:t>86</w:t>
              </w:r>
            </w:hyperlink>
            <w:r w:rsidRPr="00201716">
              <w:rPr>
                <w:rFonts w:ascii="Arial" w:hAnsi="Arial" w:cs="Arial"/>
                <w:sz w:val="20"/>
                <w:szCs w:val="20"/>
                <w:vertAlign w:val="superscript"/>
              </w:rPr>
              <w:t>)</w:t>
            </w:r>
            <w:r w:rsidRPr="00201716">
              <w:rPr>
                <w:rFonts w:ascii="Arial" w:hAnsi="Arial" w:cs="Arial"/>
                <w:sz w:val="20"/>
                <w:szCs w:val="20"/>
              </w:rPr>
              <w:t>, Major electricity infrastructure</w:t>
            </w:r>
            <w:r w:rsidRPr="00201716">
              <w:rPr>
                <w:rFonts w:ascii="Arial" w:hAnsi="Arial" w:cs="Arial"/>
                <w:sz w:val="20"/>
                <w:szCs w:val="20"/>
                <w:vertAlign w:val="superscript"/>
              </w:rPr>
              <w:t>(</w:t>
            </w:r>
            <w:hyperlink r:id="rId22"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201716">
                <w:rPr>
                  <w:rStyle w:val="Hyperlink"/>
                  <w:rFonts w:ascii="Arial" w:hAnsi="Arial" w:cs="Arial"/>
                  <w:sz w:val="20"/>
                  <w:szCs w:val="20"/>
                  <w:vertAlign w:val="superscript"/>
                </w:rPr>
                <w:t>43</w:t>
              </w:r>
            </w:hyperlink>
            <w:r w:rsidRPr="00201716">
              <w:rPr>
                <w:rFonts w:ascii="Arial" w:hAnsi="Arial" w:cs="Arial"/>
                <w:sz w:val="20"/>
                <w:szCs w:val="20"/>
                <w:vertAlign w:val="superscript"/>
              </w:rPr>
              <w:t>)</w:t>
            </w:r>
            <w:r w:rsidRPr="00201716">
              <w:rPr>
                <w:rFonts w:ascii="Arial" w:hAnsi="Arial" w:cs="Arial"/>
                <w:sz w:val="20"/>
                <w:szCs w:val="20"/>
              </w:rPr>
              <w:t xml:space="preserve"> or Substation</w:t>
            </w:r>
            <w:r w:rsidRPr="00201716">
              <w:rPr>
                <w:rFonts w:ascii="Arial" w:hAnsi="Arial" w:cs="Arial"/>
                <w:sz w:val="20"/>
                <w:szCs w:val="20"/>
                <w:vertAlign w:val="superscript"/>
              </w:rPr>
              <w:t>(</w:t>
            </w:r>
            <w:hyperlink r:id="rId23" w:anchor="target-d768251e572400" w:tooltip="Substation - Premises forming part of a transmission grid or supply network under the Electricity Act 1994, and used for:" w:history="1">
              <w:r w:rsidRPr="00201716">
                <w:rPr>
                  <w:rStyle w:val="Hyperlink"/>
                  <w:rFonts w:ascii="Arial" w:hAnsi="Arial" w:cs="Arial"/>
                  <w:sz w:val="20"/>
                  <w:szCs w:val="20"/>
                  <w:vertAlign w:val="superscript"/>
                </w:rPr>
                <w:t>80</w:t>
              </w:r>
            </w:hyperlink>
            <w:r w:rsidRPr="00201716">
              <w:rPr>
                <w:rFonts w:ascii="Arial" w:hAnsi="Arial" w:cs="Arial"/>
                <w:sz w:val="20"/>
                <w:szCs w:val="20"/>
                <w:vertAlign w:val="superscript"/>
              </w:rPr>
              <w:t>)</w:t>
            </w:r>
            <w:r w:rsidRPr="00201716">
              <w:rPr>
                <w:rFonts w:ascii="Arial" w:hAnsi="Arial" w:cs="Arial"/>
                <w:sz w:val="20"/>
                <w:szCs w:val="20"/>
              </w:rPr>
              <w:t xml:space="preserve"> if there is already a facility in the same coverage area.</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New telecommunication facilities</w:t>
            </w:r>
            <w:r w:rsidRPr="00201716">
              <w:rPr>
                <w:rFonts w:ascii="Arial" w:hAnsi="Arial" w:cs="Arial"/>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are co-located on existing towers with new equipment shelter and associated structures positioned adjacent to the existing shelters and structures.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If not co-located with an existing facility, all co-location opportunities have been investigated and fully exhausted within a 2km radius of the site.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new Telecommunications facility</w:t>
            </w:r>
            <w:r w:rsidRPr="00201716">
              <w:rPr>
                <w:rFonts w:ascii="Arial" w:hAnsi="Arial" w:cs="Arial"/>
                <w:sz w:val="20"/>
                <w:szCs w:val="20"/>
                <w:vertAlign w:val="superscript"/>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is designed and constructed to ensure co-masting or co-siting with other carriers both on the tower or pole and at ground level is possible in the future.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area of 45m</w:t>
            </w:r>
            <w:r w:rsidRPr="00201716">
              <w:rPr>
                <w:rFonts w:ascii="Arial" w:hAnsi="Arial" w:cs="Arial"/>
                <w:sz w:val="20"/>
                <w:szCs w:val="20"/>
                <w:vertAlign w:val="superscript"/>
              </w:rPr>
              <w:t>2</w:t>
            </w:r>
            <w:r w:rsidRPr="00201716">
              <w:rPr>
                <w:rFonts w:ascii="Arial" w:hAnsi="Arial" w:cs="Arial"/>
                <w:sz w:val="20"/>
                <w:szCs w:val="20"/>
              </w:rPr>
              <w:t xml:space="preserve"> is available to allow for additional equipment shelters and associated structures for the purpose of co-locating on the proposed facility.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Telecommunications facilities</w:t>
            </w:r>
            <w:r w:rsidRPr="00201716">
              <w:rPr>
                <w:rFonts w:ascii="Arial" w:hAnsi="Arial" w:cs="Arial"/>
                <w:sz w:val="20"/>
                <w:szCs w:val="20"/>
                <w:vertAlign w:val="superscript"/>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do not conflict with lawful existing land uses both on and adjoining the site.</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Telecommunications facility</w:t>
            </w:r>
            <w:r w:rsidRPr="00201716">
              <w:rPr>
                <w:rFonts w:ascii="Arial" w:hAnsi="Arial" w:cs="Arial"/>
                <w:sz w:val="20"/>
                <w:szCs w:val="20"/>
                <w:vertAlign w:val="superscript"/>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does not have an adverse impact on the visual amenity of a locality and is:</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high quality design and construction;</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visually integrated with the surrounding area;</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visually dominant or intrusive;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located behind the main building line;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below the level of the predominant tree canopy or the level of the surrounding buildings and structures;</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camouflaged through the use of colours and materials which blend into the landscape;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treated to eliminate glare and reflectivity;</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landscaped;</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otherwise consistent with the amenity and character of the zone and surrounding area.</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In all other areas towers do not exceed 35m in height.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Towers, equipment shelters and associated structures are of a design, colour and material to:</w:t>
            </w:r>
          </w:p>
          <w:p w:rsidR="003754F8" w:rsidRPr="00201716" w:rsidRDefault="003754F8" w:rsidP="003754F8">
            <w:pPr>
              <w:numPr>
                <w:ilvl w:val="0"/>
                <w:numId w:val="5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reduce recognition in the landscape;</w:t>
            </w:r>
          </w:p>
          <w:p w:rsidR="003754F8" w:rsidRPr="00201716" w:rsidRDefault="003754F8" w:rsidP="003754F8">
            <w:pPr>
              <w:numPr>
                <w:ilvl w:val="0"/>
                <w:numId w:val="5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reduce glare and reflectivity.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there is no established building line the facility is located at the rear of the site.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facility is enclosed by security fencing or by other means to ensure public access is prohibited.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Landscaping is provided in accordance with Planning scheme policy - Integrated design.</w:t>
                  </w:r>
                </w:p>
              </w:tc>
            </w:tr>
            <w:tr w:rsidR="003754F8" w:rsidRPr="00201716" w:rsidTr="00510260">
              <w:trPr>
                <w:tblCellSpacing w:w="15" w:type="dxa"/>
              </w:trPr>
              <w:tc>
                <w:tcPr>
                  <w:tcW w:w="6687"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Lawful access is maintained to the site at all times that does not alter the amenity of the landscape or surrounding uses.</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An Access and Landscape Plan demonstrates how 24 hour vehicular access will be obtained and maintained to the facility in a manner that is appropriate to the site’s context.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equipment comprising the Telecommunications facility</w:t>
            </w:r>
            <w:r w:rsidRPr="00201716">
              <w:rPr>
                <w:rFonts w:ascii="Arial" w:hAnsi="Arial" w:cs="Arial"/>
                <w:sz w:val="20"/>
                <w:szCs w:val="20"/>
                <w:vertAlign w:val="superscript"/>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jc w:val="center"/>
              <w:rPr>
                <w:rFonts w:ascii="Arial" w:hAnsi="Arial" w:cs="Arial"/>
                <w:sz w:val="20"/>
                <w:szCs w:val="20"/>
              </w:rPr>
            </w:pPr>
            <w:r w:rsidRPr="00201716">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jc w:val="center"/>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A25512" w:rsidRPr="00201716" w:rsidRDefault="00A25512" w:rsidP="00510260">
            <w:pPr>
              <w:pStyle w:val="NormalWeb"/>
              <w:jc w:val="center"/>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avoids disturbing acid sulfate soils. Where development disturbs acid sulfate soils, development:</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managed to avoid or minimise the release of surface or groundwater flows containing acid and metal contaminants into the environment;</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protects the environmental and </w:t>
            </w:r>
            <w:r w:rsidRPr="00201716">
              <w:rPr>
                <w:rFonts w:ascii="Arial" w:eastAsia="Times New Roman" w:hAnsi="Arial" w:cs="Arial"/>
                <w:sz w:val="20"/>
                <w:szCs w:val="20"/>
              </w:rPr>
              <w:lastRenderedPageBreak/>
              <w:t>ecological values and health of receiving waters;</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protects buildings and infrastructure from the effects of acid sulfate soils.</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involve:</w:t>
            </w:r>
          </w:p>
          <w:p w:rsidR="003754F8" w:rsidRPr="00201716" w:rsidRDefault="003754F8" w:rsidP="003754F8">
            <w:pPr>
              <w:numPr>
                <w:ilvl w:val="0"/>
                <w:numId w:val="5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excavation or otherwise removing of more than 100m</w:t>
            </w:r>
            <w:r w:rsidRPr="00201716">
              <w:rPr>
                <w:rFonts w:ascii="Arial" w:eastAsia="Times New Roman" w:hAnsi="Arial" w:cs="Arial"/>
                <w:sz w:val="20"/>
                <w:szCs w:val="20"/>
                <w:vertAlign w:val="superscript"/>
              </w:rPr>
              <w:t>3</w:t>
            </w:r>
            <w:r w:rsidRPr="00201716">
              <w:rPr>
                <w:rFonts w:ascii="Arial" w:eastAsia="Times New Roman" w:hAnsi="Arial" w:cs="Arial"/>
                <w:sz w:val="20"/>
                <w:szCs w:val="20"/>
              </w:rPr>
              <w:t xml:space="preserve"> of soil or sediment where below than 5m Australian Height datum AHD; or</w:t>
            </w:r>
          </w:p>
          <w:p w:rsidR="003754F8" w:rsidRPr="00201716" w:rsidRDefault="003754F8" w:rsidP="003754F8">
            <w:pPr>
              <w:numPr>
                <w:ilvl w:val="0"/>
                <w:numId w:val="5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filling of land of more than 500m</w:t>
            </w:r>
            <w:r w:rsidRPr="00201716">
              <w:rPr>
                <w:rFonts w:ascii="Arial" w:eastAsia="Times New Roman" w:hAnsi="Arial" w:cs="Arial"/>
                <w:sz w:val="20"/>
                <w:szCs w:val="20"/>
                <w:vertAlign w:val="superscript"/>
              </w:rPr>
              <w:t>3</w:t>
            </w:r>
            <w:r w:rsidRPr="00201716">
              <w:rPr>
                <w:rFonts w:ascii="Arial" w:eastAsia="Times New Roman" w:hAnsi="Arial" w:cs="Arial"/>
                <w:sz w:val="20"/>
                <w:szCs w:val="20"/>
              </w:rPr>
              <w:t xml:space="preserve"> of material with an average depth of 0.5m or greater where below the 5m Australian Height datum AHD.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A25512" w:rsidRPr="00201716" w:rsidRDefault="00A25512" w:rsidP="00A25512">
                  <w:pPr>
                    <w:rPr>
                      <w:rFonts w:ascii="Arial" w:hAnsi="Arial" w:cs="Arial"/>
                      <w:sz w:val="20"/>
                      <w:szCs w:val="20"/>
                    </w:rPr>
                  </w:pPr>
                  <w:r w:rsidRPr="00201716">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will:</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diminish or cause irreversible damage to the cultural heritage values present on the site, and associated with a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protect the fabric and setting of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 consistent with the form, scale and style of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utilise similar materials to those existing, or where this is not reasonable or practicable, neutral materials and finishes;</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incorporate complementary elements, detailing and ornamentation to those present on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retain public access where this is currently provided.</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Demolition and removal is only considered where:</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demolition is confined to the removal of outbuildings, extensions and alterations that are not part of the original structure;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limited demolition is performed in the course of repairs, maintenance or restoration;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demolition is performed following a catastrophic event which substantially destroys the building or object.</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Significant trees are only removed where they are in a poor state of health or where they pose a health and safety risk to persons or property. A Tree Assessment report prepared by a suitably qualified </w:t>
            </w:r>
            <w:r w:rsidRPr="00201716">
              <w:rPr>
                <w:rFonts w:ascii="Arial" w:hAnsi="Arial" w:cs="Arial"/>
                <w:sz w:val="20"/>
                <w:szCs w:val="20"/>
              </w:rPr>
              <w:lastRenderedPageBreak/>
              <w:t>arborist confirming a tree's state of health is required to demonstrate achievement of this performance outcome.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E70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result in the removal of a significant tree;</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occur within 20m of a protected tree;</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involve pruning of a tree in accordance with Australian Standard AS 4373-2007 – Pruning of Amenity Trees.</w:t>
            </w:r>
          </w:p>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 </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Overland flow path (refer Overlay map - Overland flow path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w:t>
            </w:r>
          </w:p>
          <w:p w:rsidR="003754F8" w:rsidRPr="00201716" w:rsidRDefault="003754F8" w:rsidP="003754F8">
            <w:pPr>
              <w:numPr>
                <w:ilvl w:val="0"/>
                <w:numId w:val="5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minimises the risk to persons from overland flow;</w:t>
            </w:r>
          </w:p>
          <w:p w:rsidR="003754F8" w:rsidRPr="00201716" w:rsidRDefault="003754F8" w:rsidP="003754F8">
            <w:pPr>
              <w:numPr>
                <w:ilvl w:val="0"/>
                <w:numId w:val="5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w:t>
            </w:r>
          </w:p>
          <w:p w:rsidR="003754F8" w:rsidRPr="00201716" w:rsidRDefault="003754F8" w:rsidP="003754F8">
            <w:pPr>
              <w:numPr>
                <w:ilvl w:val="0"/>
                <w:numId w:val="5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3754F8" w:rsidRPr="00201716" w:rsidRDefault="003754F8" w:rsidP="003754F8">
            <w:pPr>
              <w:numPr>
                <w:ilvl w:val="0"/>
                <w:numId w:val="5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does not concentrate, intensify or divert </w:t>
            </w:r>
            <w:r w:rsidRPr="00201716">
              <w:rPr>
                <w:rFonts w:ascii="Arial" w:eastAsia="Times New Roman" w:hAnsi="Arial" w:cs="Arial"/>
                <w:sz w:val="20"/>
                <w:szCs w:val="20"/>
              </w:rPr>
              <w:lastRenderedPageBreak/>
              <w:t>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Reporting to be prepared in accordance with Planning scheme policy – Flood hazard, Coastal hazard and Overland flow.</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w:t>
            </w:r>
          </w:p>
          <w:p w:rsidR="003754F8" w:rsidRPr="00201716" w:rsidRDefault="003754F8" w:rsidP="003754F8">
            <w:pPr>
              <w:numPr>
                <w:ilvl w:val="0"/>
                <w:numId w:val="5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directly, indirectly or cumulatively cause any increase in overland flow velocity or level;</w:t>
            </w:r>
          </w:p>
          <w:p w:rsidR="003754F8" w:rsidRPr="00201716" w:rsidRDefault="003754F8" w:rsidP="003754F8">
            <w:pPr>
              <w:numPr>
                <w:ilvl w:val="0"/>
                <w:numId w:val="5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Open concrete drains greater than 1m in width are not an acceptable outcome, nor are any other design options that may increase scouring.</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Development ensures that public safety and the risk to the environment are not adversely affected by a detrimental impact of overland flow on a hazardous chemical located or stored on the premises.</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E74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which is not in a Rural zone ensures that overland flow is not conveyed from a road or public open space onto a private lot.</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Reporting to be prepared in accordance with Planning scheme policy – Flood hazard, Coastal hazard and Overland flow</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roof and allotment drainage infrastructure is provided in accordance with the following relevant level as identified in QUDM:</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Urban area – Level III;</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Rural area – N/A;</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Industrial area – Level V;</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Commercial area – Level V.</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Development protects the conveyance of overland flow such that an easement for drainage purposes is provided over:</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t>a stormwater pipe if the nominal pipe diameter exceeds 300mm;</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t>an overland flow path where it crosses more than one premises;</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pStyle w:val="NormalWeb"/>
                    <w:rPr>
                      <w:rFonts w:ascii="Arial" w:hAnsi="Arial" w:cs="Arial"/>
                      <w:sz w:val="18"/>
                      <w:szCs w:val="20"/>
                    </w:rPr>
                  </w:pPr>
                  <w:r w:rsidRPr="00D402D6">
                    <w:rPr>
                      <w:rFonts w:ascii="Arial" w:hAnsi="Arial" w:cs="Arial"/>
                      <w:sz w:val="18"/>
                      <w:szCs w:val="20"/>
                    </w:rPr>
                    <w:t>Note - Refer to Planning scheme policy - Integrated design for details and examples.</w:t>
                  </w:r>
                </w:p>
              </w:tc>
            </w:tr>
            <w:tr w:rsidR="003754F8" w:rsidRPr="00201716" w:rsidTr="00510260">
              <w:trPr>
                <w:tblCellSpacing w:w="15" w:type="dxa"/>
              </w:trPr>
              <w:tc>
                <w:tcPr>
                  <w:tcW w:w="2865" w:type="dxa"/>
                  <w:vAlign w:val="center"/>
                  <w:hideMark/>
                </w:tcPr>
                <w:p w:rsidR="003754F8" w:rsidRPr="00D402D6" w:rsidRDefault="003754F8" w:rsidP="00510260">
                  <w:pPr>
                    <w:pStyle w:val="NormalWeb"/>
                    <w:rPr>
                      <w:rFonts w:ascii="Arial" w:hAnsi="Arial" w:cs="Arial"/>
                      <w:sz w:val="18"/>
                      <w:szCs w:val="20"/>
                    </w:rPr>
                  </w:pPr>
                  <w:r w:rsidRPr="00D402D6">
                    <w:rPr>
                      <w:rFonts w:ascii="Arial" w:hAnsi="Arial" w:cs="Arial"/>
                      <w:sz w:val="18"/>
                      <w:szCs w:val="20"/>
                    </w:rPr>
                    <w:t>Note - Stormwater Drainage easement dimensions are provided in accordance with Section 3.8.5 of QUDM.</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vAlign w:val="center"/>
            <w:hideMark/>
          </w:tcPr>
          <w:p w:rsidR="00A25512" w:rsidRPr="00201716" w:rsidRDefault="00A25512" w:rsidP="00510260">
            <w:pPr>
              <w:pStyle w:val="NormalWeb"/>
              <w:rPr>
                <w:rStyle w:val="Strong"/>
                <w:rFonts w:ascii="Arial" w:hAnsi="Arial" w:cs="Arial"/>
                <w:sz w:val="20"/>
                <w:szCs w:val="20"/>
              </w:rPr>
            </w:pPr>
            <w:r w:rsidRPr="00201716">
              <w:rPr>
                <w:rStyle w:val="Strong"/>
                <w:rFonts w:ascii="Arial" w:hAnsi="Arial" w:cs="Arial"/>
                <w:sz w:val="20"/>
                <w:szCs w:val="20"/>
              </w:rPr>
              <w:t>Additional criteria for development for a Park</w:t>
            </w: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for a Park</w:t>
            </w:r>
            <w:r w:rsidRPr="00201716">
              <w:rPr>
                <w:rFonts w:ascii="Arial" w:hAnsi="Arial" w:cs="Arial"/>
                <w:sz w:val="20"/>
                <w:szCs w:val="20"/>
                <w:vertAlign w:val="superscript"/>
              </w:rPr>
              <w:t>(</w:t>
            </w:r>
            <w:hyperlink r:id="rId2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01716">
                <w:rPr>
                  <w:rStyle w:val="Hyperlink"/>
                  <w:rFonts w:ascii="Arial" w:hAnsi="Arial" w:cs="Arial"/>
                  <w:sz w:val="20"/>
                  <w:szCs w:val="20"/>
                  <w:vertAlign w:val="superscript"/>
                </w:rPr>
                <w:t>57</w:t>
              </w:r>
            </w:hyperlink>
            <w:r w:rsidRPr="00201716">
              <w:rPr>
                <w:rFonts w:ascii="Arial" w:hAnsi="Arial" w:cs="Arial"/>
                <w:sz w:val="20"/>
                <w:szCs w:val="20"/>
                <w:vertAlign w:val="superscript"/>
              </w:rPr>
              <w:t>)</w:t>
            </w:r>
            <w:r w:rsidRPr="00201716">
              <w:rPr>
                <w:rFonts w:ascii="Arial" w:hAnsi="Arial" w:cs="Arial"/>
                <w:sz w:val="20"/>
                <w:szCs w:val="20"/>
              </w:rPr>
              <w:t xml:space="preserve"> ensures that the design and layout responds to the nature of the overland flow affecting the premises such that:</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public benefit and enjoyment is maximised;</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impacts on the asset life and integrity of park structures is minimised;</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lastRenderedPageBreak/>
              <w:t>maintenance and replacement costs are minimised.</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E78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for a Park</w:t>
            </w:r>
            <w:r w:rsidRPr="00201716">
              <w:rPr>
                <w:rFonts w:ascii="Arial" w:hAnsi="Arial" w:cs="Arial"/>
                <w:sz w:val="20"/>
                <w:szCs w:val="20"/>
                <w:vertAlign w:val="superscript"/>
              </w:rPr>
              <w:t>(</w:t>
            </w:r>
            <w:hyperlink r:id="rId3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01716">
                <w:rPr>
                  <w:rStyle w:val="Hyperlink"/>
                  <w:rFonts w:ascii="Arial" w:hAnsi="Arial" w:cs="Arial"/>
                  <w:sz w:val="20"/>
                  <w:szCs w:val="20"/>
                  <w:vertAlign w:val="superscript"/>
                </w:rPr>
                <w:t>57</w:t>
              </w:r>
            </w:hyperlink>
            <w:r w:rsidRPr="00201716">
              <w:rPr>
                <w:rFonts w:ascii="Arial" w:hAnsi="Arial" w:cs="Arial"/>
                <w:sz w:val="20"/>
                <w:szCs w:val="20"/>
                <w:vertAlign w:val="superscript"/>
              </w:rPr>
              <w:t>)</w:t>
            </w:r>
            <w:r w:rsidRPr="00201716">
              <w:rPr>
                <w:rFonts w:ascii="Arial" w:hAnsi="Arial" w:cs="Arial"/>
                <w:sz w:val="20"/>
                <w:szCs w:val="20"/>
              </w:rPr>
              <w:t xml:space="preserve"> ensures works are provided in accordance with the requirements set out in Appendix B of the Planning scheme policy - Integrated design.</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bookmarkEnd w:id="8"/>
    </w:tbl>
    <w:p w:rsidR="003754F8" w:rsidRPr="004E0E41" w:rsidRDefault="003754F8">
      <w:pPr>
        <w:rPr>
          <w:rFonts w:ascii="Arial" w:hAnsi="Arial" w:cs="Arial"/>
        </w:rPr>
      </w:pPr>
    </w:p>
    <w:sectPr w:rsidR="003754F8" w:rsidRPr="004E0E41" w:rsidSect="003754F8">
      <w:headerReference w:type="even" r:id="rId31"/>
      <w:headerReference w:type="default" r:id="rId32"/>
      <w:footerReference w:type="even" r:id="rId33"/>
      <w:footerReference w:type="default" r:id="rId34"/>
      <w:headerReference w:type="first" r:id="rId35"/>
      <w:footerReference w:type="first" r:id="rId3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8CB" w:rsidRDefault="005448CB" w:rsidP="00AC569A">
      <w:r>
        <w:separator/>
      </w:r>
    </w:p>
  </w:endnote>
  <w:endnote w:type="continuationSeparator" w:id="0">
    <w:p w:rsidR="005448CB" w:rsidRDefault="005448CB" w:rsidP="00AC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210" w:rsidRDefault="00307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1D7" w:rsidRPr="007C50B8" w:rsidRDefault="005E31D7" w:rsidP="00AC569A">
    <w:pPr>
      <w:pStyle w:val="Footer"/>
      <w:jc w:val="center"/>
      <w:rPr>
        <w:rFonts w:ascii="Arial" w:hAnsi="Arial" w:cs="Arial"/>
        <w:i/>
        <w:sz w:val="20"/>
        <w:szCs w:val="20"/>
      </w:rPr>
    </w:pPr>
    <w:r w:rsidRPr="0009526E">
      <w:rPr>
        <w:rFonts w:ascii="Arial" w:hAnsi="Arial" w:cs="Arial"/>
        <w:i/>
        <w:sz w:val="20"/>
        <w:szCs w:val="20"/>
      </w:rPr>
      <w:t>MBRC Planning Scheme</w:t>
    </w:r>
    <w:r>
      <w:rPr>
        <w:rFonts w:ascii="Arial" w:hAnsi="Arial" w:cs="Arial"/>
        <w:i/>
        <w:sz w:val="20"/>
        <w:szCs w:val="20"/>
      </w:rPr>
      <w:t xml:space="preserve"> Version </w:t>
    </w:r>
    <w:r w:rsidR="00307210">
      <w:rPr>
        <w:rFonts w:ascii="Arial" w:hAnsi="Arial" w:cs="Arial"/>
        <w:i/>
        <w:sz w:val="20"/>
        <w:szCs w:val="20"/>
      </w:rPr>
      <w:t>5</w:t>
    </w:r>
    <w:bookmarkStart w:id="9" w:name="_GoBack"/>
    <w:bookmarkEnd w:id="9"/>
    <w:r w:rsidRPr="0009526E">
      <w:rPr>
        <w:rFonts w:ascii="Arial" w:hAnsi="Arial" w:cs="Arial"/>
        <w:i/>
        <w:sz w:val="20"/>
        <w:szCs w:val="20"/>
      </w:rPr>
      <w:t xml:space="preserve"> - </w:t>
    </w:r>
    <w:r>
      <w:rPr>
        <w:rFonts w:ascii="Arial" w:hAnsi="Arial" w:cs="Arial"/>
        <w:i/>
        <w:sz w:val="20"/>
        <w:szCs w:val="20"/>
      </w:rPr>
      <w:t>Redcliffe Kippa-Ring local plan</w:t>
    </w:r>
    <w:r w:rsidRPr="0009526E">
      <w:rPr>
        <w:rFonts w:ascii="Arial" w:hAnsi="Arial" w:cs="Arial"/>
        <w:i/>
        <w:sz w:val="20"/>
        <w:szCs w:val="20"/>
      </w:rPr>
      <w:t xml:space="preserve"> - </w:t>
    </w:r>
    <w:r>
      <w:rPr>
        <w:rFonts w:ascii="Arial" w:hAnsi="Arial" w:cs="Arial"/>
        <w:i/>
        <w:sz w:val="20"/>
        <w:szCs w:val="20"/>
      </w:rPr>
      <w:t xml:space="preserve">Kippa-Ring station precinct </w:t>
    </w:r>
    <w:r w:rsidRPr="0009526E">
      <w:rPr>
        <w:rFonts w:ascii="Arial" w:hAnsi="Arial" w:cs="Arial"/>
        <w:i/>
        <w:sz w:val="20"/>
        <w:szCs w:val="20"/>
      </w:rPr>
      <w:t xml:space="preserve">- </w:t>
    </w:r>
    <w:r>
      <w:rPr>
        <w:rFonts w:ascii="Arial" w:hAnsi="Arial" w:cs="Arial"/>
        <w:i/>
        <w:sz w:val="20"/>
        <w:szCs w:val="20"/>
      </w:rPr>
      <w:t>Assessable development</w:t>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09526E">
          <w:rPr>
            <w:rFonts w:ascii="Arial" w:hAnsi="Arial" w:cs="Arial"/>
            <w:sz w:val="20"/>
            <w:szCs w:val="20"/>
          </w:rPr>
          <w:fldChar w:fldCharType="begin"/>
        </w:r>
        <w:r w:rsidRPr="0009526E">
          <w:rPr>
            <w:rFonts w:ascii="Arial" w:hAnsi="Arial" w:cs="Arial"/>
            <w:sz w:val="20"/>
            <w:szCs w:val="20"/>
          </w:rPr>
          <w:instrText xml:space="preserve"> PAGE   \* MERGEFORMAT </w:instrText>
        </w:r>
        <w:r w:rsidRPr="0009526E">
          <w:rPr>
            <w:rFonts w:ascii="Arial" w:hAnsi="Arial" w:cs="Arial"/>
            <w:sz w:val="20"/>
            <w:szCs w:val="20"/>
          </w:rPr>
          <w:fldChar w:fldCharType="separate"/>
        </w:r>
        <w:r>
          <w:rPr>
            <w:rFonts w:ascii="Arial" w:hAnsi="Arial" w:cs="Arial"/>
            <w:sz w:val="20"/>
            <w:szCs w:val="20"/>
          </w:rPr>
          <w:t>1</w:t>
        </w:r>
        <w:r w:rsidRPr="0009526E">
          <w:rPr>
            <w:rFonts w:ascii="Arial" w:hAnsi="Arial" w:cs="Arial"/>
            <w:noProof/>
            <w:sz w:val="20"/>
            <w:szCs w:val="20"/>
          </w:rPr>
          <w:fldChar w:fldCharType="end"/>
        </w:r>
      </w:sdtContent>
    </w:sdt>
  </w:p>
  <w:p w:rsidR="005E31D7" w:rsidRPr="00AC569A" w:rsidRDefault="005E31D7" w:rsidP="00AC5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210" w:rsidRDefault="00307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8CB" w:rsidRDefault="005448CB" w:rsidP="00AC569A">
      <w:r>
        <w:separator/>
      </w:r>
    </w:p>
  </w:footnote>
  <w:footnote w:type="continuationSeparator" w:id="0">
    <w:p w:rsidR="005448CB" w:rsidRDefault="005448CB" w:rsidP="00AC5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210" w:rsidRDefault="00307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210" w:rsidRDefault="003072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210" w:rsidRDefault="003072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03976"/>
    <w:multiLevelType w:val="multilevel"/>
    <w:tmpl w:val="5D7A7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15A54DB"/>
    <w:multiLevelType w:val="multilevel"/>
    <w:tmpl w:val="25FA2C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1E24AC7"/>
    <w:multiLevelType w:val="multilevel"/>
    <w:tmpl w:val="0DAA7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3C47A9D"/>
    <w:multiLevelType w:val="multilevel"/>
    <w:tmpl w:val="6C2092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690547A"/>
    <w:multiLevelType w:val="multilevel"/>
    <w:tmpl w:val="2AFA20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7054A15"/>
    <w:multiLevelType w:val="multilevel"/>
    <w:tmpl w:val="9216C4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8F6434F"/>
    <w:multiLevelType w:val="multilevel"/>
    <w:tmpl w:val="CF3CB8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8F93246"/>
    <w:multiLevelType w:val="multilevel"/>
    <w:tmpl w:val="E228A5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765F46"/>
    <w:multiLevelType w:val="multilevel"/>
    <w:tmpl w:val="AC9424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1338E7"/>
    <w:multiLevelType w:val="multilevel"/>
    <w:tmpl w:val="78E0BC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B313E78"/>
    <w:multiLevelType w:val="multilevel"/>
    <w:tmpl w:val="A57864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B4373E7"/>
    <w:multiLevelType w:val="multilevel"/>
    <w:tmpl w:val="6F047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C6D0553"/>
    <w:multiLevelType w:val="multilevel"/>
    <w:tmpl w:val="DB4CAC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F446E73"/>
    <w:multiLevelType w:val="multilevel"/>
    <w:tmpl w:val="F0CA1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F592CE9"/>
    <w:multiLevelType w:val="multilevel"/>
    <w:tmpl w:val="42DA0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FC67CE6"/>
    <w:multiLevelType w:val="multilevel"/>
    <w:tmpl w:val="A43C4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18336B2"/>
    <w:multiLevelType w:val="multilevel"/>
    <w:tmpl w:val="2708D1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4822688"/>
    <w:multiLevelType w:val="multilevel"/>
    <w:tmpl w:val="E4866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4AA1BF8"/>
    <w:multiLevelType w:val="multilevel"/>
    <w:tmpl w:val="5D8672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4FB2FDD"/>
    <w:multiLevelType w:val="multilevel"/>
    <w:tmpl w:val="CB4223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8DA456D"/>
    <w:multiLevelType w:val="multilevel"/>
    <w:tmpl w:val="6EA4EC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16062A"/>
    <w:multiLevelType w:val="multilevel"/>
    <w:tmpl w:val="33525A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C65133"/>
    <w:multiLevelType w:val="multilevel"/>
    <w:tmpl w:val="A7D8B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C6D5040"/>
    <w:multiLevelType w:val="multilevel"/>
    <w:tmpl w:val="DD7A3F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CCA5496"/>
    <w:multiLevelType w:val="multilevel"/>
    <w:tmpl w:val="81D421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E8B1D81"/>
    <w:multiLevelType w:val="multilevel"/>
    <w:tmpl w:val="193464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F317635"/>
    <w:multiLevelType w:val="multilevel"/>
    <w:tmpl w:val="28CC7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F347D9B"/>
    <w:multiLevelType w:val="multilevel"/>
    <w:tmpl w:val="D250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5224F"/>
    <w:multiLevelType w:val="multilevel"/>
    <w:tmpl w:val="F6F0E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2AF01FE"/>
    <w:multiLevelType w:val="multilevel"/>
    <w:tmpl w:val="123E2684"/>
    <w:lvl w:ilvl="0">
      <w:start w:val="1"/>
      <w:numFmt w:val="lowerLetter"/>
      <w:lvlText w:val="%1."/>
      <w:lvlJc w:val="left"/>
      <w:pPr>
        <w:tabs>
          <w:tab w:val="num" w:pos="-1830"/>
        </w:tabs>
        <w:ind w:left="-1830" w:hanging="360"/>
      </w:pPr>
    </w:lvl>
    <w:lvl w:ilvl="1" w:tentative="1">
      <w:start w:val="1"/>
      <w:numFmt w:val="lowerLetter"/>
      <w:lvlText w:val="%2."/>
      <w:lvlJc w:val="left"/>
      <w:pPr>
        <w:tabs>
          <w:tab w:val="num" w:pos="-1110"/>
        </w:tabs>
        <w:ind w:left="-1110" w:hanging="360"/>
      </w:pPr>
    </w:lvl>
    <w:lvl w:ilvl="2" w:tentative="1">
      <w:start w:val="1"/>
      <w:numFmt w:val="lowerLetter"/>
      <w:lvlText w:val="%3."/>
      <w:lvlJc w:val="left"/>
      <w:pPr>
        <w:tabs>
          <w:tab w:val="num" w:pos="-390"/>
        </w:tabs>
        <w:ind w:left="-390" w:hanging="360"/>
      </w:pPr>
    </w:lvl>
    <w:lvl w:ilvl="3" w:tentative="1">
      <w:start w:val="1"/>
      <w:numFmt w:val="lowerLetter"/>
      <w:lvlText w:val="%4."/>
      <w:lvlJc w:val="left"/>
      <w:pPr>
        <w:tabs>
          <w:tab w:val="num" w:pos="330"/>
        </w:tabs>
        <w:ind w:left="330" w:hanging="360"/>
      </w:pPr>
    </w:lvl>
    <w:lvl w:ilvl="4" w:tentative="1">
      <w:start w:val="1"/>
      <w:numFmt w:val="lowerLetter"/>
      <w:lvlText w:val="%5."/>
      <w:lvlJc w:val="left"/>
      <w:pPr>
        <w:tabs>
          <w:tab w:val="num" w:pos="1050"/>
        </w:tabs>
        <w:ind w:left="1050" w:hanging="360"/>
      </w:pPr>
    </w:lvl>
    <w:lvl w:ilvl="5" w:tentative="1">
      <w:start w:val="1"/>
      <w:numFmt w:val="lowerLetter"/>
      <w:lvlText w:val="%6."/>
      <w:lvlJc w:val="left"/>
      <w:pPr>
        <w:tabs>
          <w:tab w:val="num" w:pos="1770"/>
        </w:tabs>
        <w:ind w:left="1770" w:hanging="360"/>
      </w:pPr>
    </w:lvl>
    <w:lvl w:ilvl="6" w:tentative="1">
      <w:start w:val="1"/>
      <w:numFmt w:val="lowerLetter"/>
      <w:lvlText w:val="%7."/>
      <w:lvlJc w:val="left"/>
      <w:pPr>
        <w:tabs>
          <w:tab w:val="num" w:pos="2490"/>
        </w:tabs>
        <w:ind w:left="2490" w:hanging="360"/>
      </w:pPr>
    </w:lvl>
    <w:lvl w:ilvl="7" w:tentative="1">
      <w:start w:val="1"/>
      <w:numFmt w:val="lowerLetter"/>
      <w:lvlText w:val="%8."/>
      <w:lvlJc w:val="left"/>
      <w:pPr>
        <w:tabs>
          <w:tab w:val="num" w:pos="3210"/>
        </w:tabs>
        <w:ind w:left="3210" w:hanging="360"/>
      </w:pPr>
    </w:lvl>
    <w:lvl w:ilvl="8" w:tentative="1">
      <w:start w:val="1"/>
      <w:numFmt w:val="lowerLetter"/>
      <w:lvlText w:val="%9."/>
      <w:lvlJc w:val="left"/>
      <w:pPr>
        <w:tabs>
          <w:tab w:val="num" w:pos="3930"/>
        </w:tabs>
        <w:ind w:left="3930" w:hanging="360"/>
      </w:pPr>
    </w:lvl>
  </w:abstractNum>
  <w:abstractNum w:abstractNumId="31" w15:restartNumberingAfterBreak="0">
    <w:nsid w:val="43374BFC"/>
    <w:multiLevelType w:val="multilevel"/>
    <w:tmpl w:val="99B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5D1958"/>
    <w:multiLevelType w:val="multilevel"/>
    <w:tmpl w:val="16425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747211A"/>
    <w:multiLevelType w:val="multilevel"/>
    <w:tmpl w:val="50540B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B774F11"/>
    <w:multiLevelType w:val="multilevel"/>
    <w:tmpl w:val="040EC4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D6F62B1"/>
    <w:multiLevelType w:val="multilevel"/>
    <w:tmpl w:val="D7FEC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F8570E2"/>
    <w:multiLevelType w:val="multilevel"/>
    <w:tmpl w:val="BD7487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38F5B78"/>
    <w:multiLevelType w:val="multilevel"/>
    <w:tmpl w:val="9C76F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3E11426"/>
    <w:multiLevelType w:val="multilevel"/>
    <w:tmpl w:val="4C8AD7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7010549"/>
    <w:multiLevelType w:val="multilevel"/>
    <w:tmpl w:val="DF289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9A44044"/>
    <w:multiLevelType w:val="multilevel"/>
    <w:tmpl w:val="7FFC4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B4F3B17"/>
    <w:multiLevelType w:val="multilevel"/>
    <w:tmpl w:val="461863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C160BB7"/>
    <w:multiLevelType w:val="multilevel"/>
    <w:tmpl w:val="39FE17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D3338D9"/>
    <w:multiLevelType w:val="multilevel"/>
    <w:tmpl w:val="59940D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E936B0C"/>
    <w:multiLevelType w:val="multilevel"/>
    <w:tmpl w:val="DC38DF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F0812F1"/>
    <w:multiLevelType w:val="multilevel"/>
    <w:tmpl w:val="A52AC9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0BE2A31"/>
    <w:multiLevelType w:val="multilevel"/>
    <w:tmpl w:val="97A66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20354DC"/>
    <w:multiLevelType w:val="multilevel"/>
    <w:tmpl w:val="8E40CC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38B1576"/>
    <w:multiLevelType w:val="multilevel"/>
    <w:tmpl w:val="1D42BA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6AC273D"/>
    <w:multiLevelType w:val="multilevel"/>
    <w:tmpl w:val="2BB4E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9622FAC"/>
    <w:multiLevelType w:val="multilevel"/>
    <w:tmpl w:val="45A63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AD07964"/>
    <w:multiLevelType w:val="multilevel"/>
    <w:tmpl w:val="9C5AA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B25379E"/>
    <w:multiLevelType w:val="multilevel"/>
    <w:tmpl w:val="D646D9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16747F0"/>
    <w:multiLevelType w:val="multilevel"/>
    <w:tmpl w:val="F2F445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045491"/>
    <w:multiLevelType w:val="multilevel"/>
    <w:tmpl w:val="08503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3BE0503"/>
    <w:multiLevelType w:val="multilevel"/>
    <w:tmpl w:val="09345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0217FC"/>
    <w:multiLevelType w:val="hybridMultilevel"/>
    <w:tmpl w:val="93386A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7AF3397"/>
    <w:multiLevelType w:val="multilevel"/>
    <w:tmpl w:val="EB00F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8052C6F"/>
    <w:multiLevelType w:val="multilevel"/>
    <w:tmpl w:val="971C80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978485B"/>
    <w:multiLevelType w:val="multilevel"/>
    <w:tmpl w:val="F93643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AE316FB"/>
    <w:multiLevelType w:val="multilevel"/>
    <w:tmpl w:val="89DAED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C744080"/>
    <w:multiLevelType w:val="multilevel"/>
    <w:tmpl w:val="5EB23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61"/>
  </w:num>
  <w:num w:numId="3">
    <w:abstractNumId w:val="17"/>
  </w:num>
  <w:num w:numId="4">
    <w:abstractNumId w:val="41"/>
  </w:num>
  <w:num w:numId="5">
    <w:abstractNumId w:val="32"/>
  </w:num>
  <w:num w:numId="6">
    <w:abstractNumId w:val="23"/>
  </w:num>
  <w:num w:numId="7">
    <w:abstractNumId w:val="40"/>
  </w:num>
  <w:num w:numId="8">
    <w:abstractNumId w:val="2"/>
  </w:num>
  <w:num w:numId="9">
    <w:abstractNumId w:val="26"/>
  </w:num>
  <w:num w:numId="10">
    <w:abstractNumId w:val="54"/>
  </w:num>
  <w:num w:numId="11">
    <w:abstractNumId w:val="27"/>
  </w:num>
  <w:num w:numId="12">
    <w:abstractNumId w:val="42"/>
  </w:num>
  <w:num w:numId="13">
    <w:abstractNumId w:val="58"/>
  </w:num>
  <w:num w:numId="14">
    <w:abstractNumId w:val="6"/>
  </w:num>
  <w:num w:numId="15">
    <w:abstractNumId w:val="49"/>
  </w:num>
  <w:num w:numId="16">
    <w:abstractNumId w:val="0"/>
  </w:num>
  <w:num w:numId="17">
    <w:abstractNumId w:val="48"/>
  </w:num>
  <w:num w:numId="18">
    <w:abstractNumId w:val="36"/>
  </w:num>
  <w:num w:numId="19">
    <w:abstractNumId w:val="51"/>
  </w:num>
  <w:num w:numId="20">
    <w:abstractNumId w:val="28"/>
  </w:num>
  <w:num w:numId="21">
    <w:abstractNumId w:val="31"/>
  </w:num>
  <w:num w:numId="22">
    <w:abstractNumId w:val="25"/>
  </w:num>
  <w:num w:numId="23">
    <w:abstractNumId w:val="10"/>
  </w:num>
  <w:num w:numId="24">
    <w:abstractNumId w:val="39"/>
  </w:num>
  <w:num w:numId="25">
    <w:abstractNumId w:val="30"/>
  </w:num>
  <w:num w:numId="26">
    <w:abstractNumId w:val="7"/>
  </w:num>
  <w:num w:numId="27">
    <w:abstractNumId w:val="15"/>
  </w:num>
  <w:num w:numId="28">
    <w:abstractNumId w:val="9"/>
  </w:num>
  <w:num w:numId="29">
    <w:abstractNumId w:val="47"/>
  </w:num>
  <w:num w:numId="30">
    <w:abstractNumId w:val="59"/>
  </w:num>
  <w:num w:numId="31">
    <w:abstractNumId w:val="57"/>
  </w:num>
  <w:num w:numId="32">
    <w:abstractNumId w:val="37"/>
  </w:num>
  <w:num w:numId="33">
    <w:abstractNumId w:val="43"/>
  </w:num>
  <w:num w:numId="34">
    <w:abstractNumId w:val="16"/>
  </w:num>
  <w:num w:numId="35">
    <w:abstractNumId w:val="38"/>
  </w:num>
  <w:num w:numId="36">
    <w:abstractNumId w:val="12"/>
  </w:num>
  <w:num w:numId="37">
    <w:abstractNumId w:val="22"/>
  </w:num>
  <w:num w:numId="38">
    <w:abstractNumId w:val="21"/>
  </w:num>
  <w:num w:numId="39">
    <w:abstractNumId w:val="19"/>
  </w:num>
  <w:num w:numId="40">
    <w:abstractNumId w:val="45"/>
  </w:num>
  <w:num w:numId="41">
    <w:abstractNumId w:val="44"/>
  </w:num>
  <w:num w:numId="42">
    <w:abstractNumId w:val="46"/>
  </w:num>
  <w:num w:numId="43">
    <w:abstractNumId w:val="35"/>
  </w:num>
  <w:num w:numId="44">
    <w:abstractNumId w:val="20"/>
  </w:num>
  <w:num w:numId="45">
    <w:abstractNumId w:val="1"/>
  </w:num>
  <w:num w:numId="46">
    <w:abstractNumId w:val="55"/>
  </w:num>
  <w:num w:numId="47">
    <w:abstractNumId w:val="8"/>
  </w:num>
  <w:num w:numId="48">
    <w:abstractNumId w:val="50"/>
  </w:num>
  <w:num w:numId="49">
    <w:abstractNumId w:val="52"/>
  </w:num>
  <w:num w:numId="50">
    <w:abstractNumId w:val="24"/>
  </w:num>
  <w:num w:numId="51">
    <w:abstractNumId w:val="33"/>
  </w:num>
  <w:num w:numId="52">
    <w:abstractNumId w:val="60"/>
  </w:num>
  <w:num w:numId="53">
    <w:abstractNumId w:val="13"/>
  </w:num>
  <w:num w:numId="54">
    <w:abstractNumId w:val="14"/>
  </w:num>
  <w:num w:numId="55">
    <w:abstractNumId w:val="34"/>
  </w:num>
  <w:num w:numId="56">
    <w:abstractNumId w:val="18"/>
  </w:num>
  <w:num w:numId="57">
    <w:abstractNumId w:val="5"/>
  </w:num>
  <w:num w:numId="58">
    <w:abstractNumId w:val="3"/>
  </w:num>
  <w:num w:numId="59">
    <w:abstractNumId w:val="29"/>
  </w:num>
  <w:num w:numId="60">
    <w:abstractNumId w:val="11"/>
  </w:num>
  <w:num w:numId="61">
    <w:abstractNumId w:val="53"/>
  </w:num>
  <w:num w:numId="62">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4F8"/>
    <w:rsid w:val="00005D21"/>
    <w:rsid w:val="0009106E"/>
    <w:rsid w:val="000D7D1E"/>
    <w:rsid w:val="00201716"/>
    <w:rsid w:val="00307210"/>
    <w:rsid w:val="003754F8"/>
    <w:rsid w:val="004E0E41"/>
    <w:rsid w:val="00510260"/>
    <w:rsid w:val="005448CB"/>
    <w:rsid w:val="005E31D7"/>
    <w:rsid w:val="00641E2E"/>
    <w:rsid w:val="00651B79"/>
    <w:rsid w:val="008055DD"/>
    <w:rsid w:val="00884C9C"/>
    <w:rsid w:val="008D40D5"/>
    <w:rsid w:val="00A13A3C"/>
    <w:rsid w:val="00A25512"/>
    <w:rsid w:val="00A36F59"/>
    <w:rsid w:val="00AC569A"/>
    <w:rsid w:val="00BA2D25"/>
    <w:rsid w:val="00C662F2"/>
    <w:rsid w:val="00D402D6"/>
    <w:rsid w:val="00D755D7"/>
    <w:rsid w:val="00FF57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86A0C"/>
  <w15:chartTrackingRefBased/>
  <w15:docId w15:val="{2C6A2A52-129E-45BE-830E-563715BC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4F8"/>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54F8"/>
    <w:pPr>
      <w:spacing w:before="100" w:beforeAutospacing="1" w:after="100" w:afterAutospacing="1"/>
    </w:pPr>
  </w:style>
  <w:style w:type="character" w:styleId="Strong">
    <w:name w:val="Strong"/>
    <w:basedOn w:val="DefaultParagraphFont"/>
    <w:uiPriority w:val="22"/>
    <w:qFormat/>
    <w:rsid w:val="003754F8"/>
    <w:rPr>
      <w:b/>
      <w:bCs/>
    </w:rPr>
  </w:style>
  <w:style w:type="character" w:styleId="Emphasis">
    <w:name w:val="Emphasis"/>
    <w:basedOn w:val="DefaultParagraphFont"/>
    <w:uiPriority w:val="20"/>
    <w:qFormat/>
    <w:rsid w:val="003754F8"/>
    <w:rPr>
      <w:i/>
      <w:iCs/>
    </w:rPr>
  </w:style>
  <w:style w:type="paragraph" w:styleId="BalloonText">
    <w:name w:val="Balloon Text"/>
    <w:basedOn w:val="Normal"/>
    <w:link w:val="BalloonTextChar"/>
    <w:uiPriority w:val="99"/>
    <w:semiHidden/>
    <w:unhideWhenUsed/>
    <w:rsid w:val="00375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4F8"/>
    <w:rPr>
      <w:rFonts w:ascii="Segoe UI" w:eastAsiaTheme="minorEastAsia" w:hAnsi="Segoe UI" w:cs="Segoe UI"/>
      <w:sz w:val="18"/>
      <w:szCs w:val="18"/>
      <w:lang w:eastAsia="en-AU"/>
    </w:rPr>
  </w:style>
  <w:style w:type="character" w:styleId="Hyperlink">
    <w:name w:val="Hyperlink"/>
    <w:basedOn w:val="DefaultParagraphFont"/>
    <w:uiPriority w:val="99"/>
    <w:semiHidden/>
    <w:unhideWhenUsed/>
    <w:rsid w:val="003754F8"/>
    <w:rPr>
      <w:color w:val="0000FF"/>
      <w:u w:val="single"/>
    </w:rPr>
  </w:style>
  <w:style w:type="character" w:customStyle="1" w:styleId="newwindow">
    <w:name w:val="newwindow"/>
    <w:basedOn w:val="DefaultParagraphFont"/>
    <w:rsid w:val="003754F8"/>
  </w:style>
  <w:style w:type="paragraph" w:styleId="Header">
    <w:name w:val="header"/>
    <w:basedOn w:val="Normal"/>
    <w:link w:val="HeaderChar"/>
    <w:uiPriority w:val="99"/>
    <w:unhideWhenUsed/>
    <w:rsid w:val="00AC569A"/>
    <w:pPr>
      <w:tabs>
        <w:tab w:val="center" w:pos="4513"/>
        <w:tab w:val="right" w:pos="9026"/>
      </w:tabs>
    </w:pPr>
  </w:style>
  <w:style w:type="character" w:customStyle="1" w:styleId="HeaderChar">
    <w:name w:val="Header Char"/>
    <w:basedOn w:val="DefaultParagraphFont"/>
    <w:link w:val="Header"/>
    <w:uiPriority w:val="99"/>
    <w:rsid w:val="00AC569A"/>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AC569A"/>
    <w:pPr>
      <w:tabs>
        <w:tab w:val="center" w:pos="4513"/>
        <w:tab w:val="right" w:pos="9026"/>
      </w:tabs>
    </w:pPr>
  </w:style>
  <w:style w:type="character" w:customStyle="1" w:styleId="FooterChar">
    <w:name w:val="Footer Char"/>
    <w:basedOn w:val="DefaultParagraphFont"/>
    <w:link w:val="Footer"/>
    <w:uiPriority w:val="99"/>
    <w:rsid w:val="00AC569A"/>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FF5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47</Pages>
  <Words>10835</Words>
  <Characters>61766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dcterms:created xsi:type="dcterms:W3CDTF">2019-12-10T03:29:00Z</dcterms:created>
  <dcterms:modified xsi:type="dcterms:W3CDTF">2021-10-13T00:56:00Z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A19463416</vt:lpwstr>
  </property>
  <property fmtid="{D5CDD505-2E9C-101B-9397-08002B2CF9AE}" pid="4" name="Objective-Title">
    <vt:lpwstr>7.2.1.3.2 Kippa-Ring station precinct - Assessable UPDATED</vt:lpwstr>
  </property>
  <property fmtid="{D5CDD505-2E9C-101B-9397-08002B2CF9AE}" pid="5" name="Objective-Comment">
    <vt:lpwstr/>
  </property>
  <property fmtid="{D5CDD505-2E9C-101B-9397-08002B2CF9AE}" pid="6" name="Objective-CreationStamp">
    <vt:filetime>2019-12-11T23:45:36Z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2020-01-06T04:38:08Z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