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321"/>
        <w:gridCol w:w="5983"/>
        <w:gridCol w:w="1890"/>
        <w:gridCol w:w="3201"/>
      </w:tblGrid>
      <w:tr w:rsidR="00355238" w:rsidRPr="00355238" w:rsidTr="00355238">
        <w:trPr>
          <w:tblCellSpacing w:w="15" w:type="dxa"/>
        </w:trPr>
        <w:tc>
          <w:tcPr>
            <w:tcW w:w="4981" w:type="pct"/>
            <w:gridSpan w:val="4"/>
            <w:tcBorders>
              <w:top w:val="nil"/>
              <w:left w:val="nil"/>
              <w:bottom w:val="nil"/>
              <w:right w:val="nil"/>
            </w:tcBorders>
            <w:shd w:val="clear" w:color="auto" w:fill="CCCCCC"/>
            <w:vAlign w:val="center"/>
            <w:hideMark/>
          </w:tcPr>
          <w:p w:rsidR="00355238" w:rsidRPr="00355238" w:rsidRDefault="00355238" w:rsidP="00E41BF3">
            <w:pPr>
              <w:jc w:val="center"/>
              <w:rPr>
                <w:rStyle w:val="Strong"/>
                <w:rFonts w:ascii="Arial" w:eastAsia="Times New Roman" w:hAnsi="Arial" w:cs="Arial"/>
                <w:sz w:val="20"/>
                <w:szCs w:val="20"/>
              </w:rPr>
            </w:pPr>
            <w:r w:rsidRPr="00355238">
              <w:rPr>
                <w:rStyle w:val="Strong"/>
                <w:rFonts w:ascii="Arial" w:eastAsia="Times New Roman" w:hAnsi="Arial" w:cs="Arial"/>
                <w:sz w:val="20"/>
                <w:szCs w:val="20"/>
              </w:rPr>
              <w:t>Table 7.2.1.8.2 Assessable development - Open space and recreation precinct</w:t>
            </w: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Performance Outcomes</w:t>
            </w:r>
          </w:p>
        </w:tc>
        <w:tc>
          <w:tcPr>
            <w:tcW w:w="1935" w:type="pct"/>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Examples that achieve aspects of the Performance Outcomes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rPr>
                <w:rFonts w:ascii="Arial" w:eastAsia="Times New Roman" w:hAnsi="Arial" w:cs="Arial"/>
                <w:b/>
                <w:bCs/>
                <w:sz w:val="20"/>
                <w:szCs w:val="20"/>
              </w:rPr>
            </w:pPr>
            <w:r w:rsidRPr="00355238">
              <w:rPr>
                <w:rFonts w:ascii="Arial" w:eastAsia="Times New Roman" w:hAnsi="Arial" w:cs="Arial"/>
                <w:b/>
                <w:bCs/>
                <w:sz w:val="20"/>
                <w:szCs w:val="20"/>
              </w:rPr>
              <w:t>E Compliance</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Yes</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No See PO or</w:t>
            </w:r>
          </w:p>
          <w:p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NA</w:t>
            </w: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r w:rsidRPr="00355238">
              <w:rPr>
                <w:rFonts w:ascii="Arial" w:eastAsia="Times New Roman" w:hAnsi="Arial" w:cs="Arial"/>
                <w:b/>
                <w:bCs/>
                <w:sz w:val="20"/>
                <w:szCs w:val="20"/>
              </w:rPr>
              <w:t>Justification for compliance</w:t>
            </w: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jc w:val="center"/>
              <w:rPr>
                <w:rFonts w:ascii="Arial" w:hAnsi="Arial" w:cs="Arial"/>
                <w:sz w:val="20"/>
                <w:szCs w:val="20"/>
              </w:rPr>
            </w:pPr>
            <w:r w:rsidRPr="00355238">
              <w:rPr>
                <w:rStyle w:val="Strong"/>
                <w:rFonts w:ascii="Arial" w:hAnsi="Arial" w:cs="Arial"/>
                <w:sz w:val="20"/>
                <w:szCs w:val="20"/>
              </w:rPr>
              <w:t>General criteria</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jc w:val="center"/>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jc w:val="center"/>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Built form outcomes for all development</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E41BF3">
        <w:trPr>
          <w:trHeight w:val="1069"/>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will:</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and unbuilt character of a site,</w:t>
            </w:r>
            <w:r w:rsidR="00E41BF3">
              <w:rPr>
                <w:rFonts w:ascii="Arial" w:hAnsi="Arial" w:cs="Arial"/>
                <w:sz w:val="20"/>
                <w:szCs w:val="20"/>
              </w:rPr>
              <w:t xml:space="preserve"> </w:t>
            </w:r>
            <w:r w:rsidRPr="00355238">
              <w:rPr>
                <w:rFonts w:ascii="Arial" w:hAnsi="Arial" w:cs="Arial"/>
                <w:sz w:val="20"/>
                <w:szCs w:val="20"/>
              </w:rPr>
              <w:t>uncluttered by building and maintaining the availability of a site for unobstructed outdoor recreational use;</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that buildings and structures are not overbearing, visually dominant or out of character with the surrounding built environment nor detract from the amenity of adjoining land;</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buildings and structures do not result in overlooking of private areas when adjoining residential areas, or block or impinge upon the receipt of natural sunlight and outlook;</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be designed in accordance with the principles of Crime Prevention Through Environment Design (CPTED) to achieve a high level of safety, surveillance and security;</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incorporate appropriate design response, relative to size and function of buildings, that acknowledge and reflect the region's sub-tropical climate;</w:t>
            </w:r>
          </w:p>
          <w:p w:rsid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reduce the visual appearance of building bulk through:</w:t>
            </w:r>
          </w:p>
          <w:p w:rsidR="00564BE0" w:rsidRPr="00564BE0" w:rsidRDefault="00564BE0" w:rsidP="00564BE0"/>
          <w:p w:rsidR="00564BE0" w:rsidRPr="00564BE0" w:rsidRDefault="00564BE0" w:rsidP="00564BE0"/>
          <w:p w:rsidR="00564BE0" w:rsidRPr="00564BE0" w:rsidRDefault="00564BE0" w:rsidP="00564BE0"/>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design measures such as the provision of meaningful recesses and projections through the horizontal and vertical plane;</w:t>
            </w:r>
          </w:p>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a variety of building materials and colours;</w:t>
            </w:r>
          </w:p>
          <w:p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landscaping and screening.</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space character as a visual contrast to urban development;</w:t>
            </w:r>
          </w:p>
          <w:p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E1.1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Site cover does not exceed 10%.</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E41BF3">
        <w:trPr>
          <w:trHeight w:val="1053"/>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and structures are set back 10m from all boundaries.</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height does not exceed that on Overlay map - Building heights.</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Amenity</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The amenity of the area and adjacent sensitive land uses are protected from the impacts of dust, odour, noise, light, chemicals and other environmental nuisances. </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Landscaping and screening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rHeight w:val="89"/>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Landscaping and screening is provided in a manner that: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a high level of privacy and amenity to adjoining properties and when viewed from the street;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 xml:space="preserve">reduces the visual impact of building bulk and presence and hard surface </w:t>
            </w:r>
            <w:r w:rsidRPr="00355238">
              <w:rPr>
                <w:rFonts w:ascii="Arial" w:hAnsi="Arial" w:cs="Arial"/>
                <w:sz w:val="20"/>
                <w:szCs w:val="20"/>
              </w:rPr>
              <w:lastRenderedPageBreak/>
              <w:t>areas on the local character and amenity of adjoining properties and from the street;</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creates a secure and safe environment by incorporating key elements of crime prevention through environmental design;</w:t>
            </w:r>
          </w:p>
          <w:p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E3</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Outdoor storages areas are screened from adjoining sites and roads by either planting, wall(s), fence(s) or a combination to at least 1.8m in height along the length of the storage area.</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Waste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jc w:val="both"/>
              <w:rPr>
                <w:rFonts w:ascii="Arial" w:hAnsi="Arial" w:cs="Arial"/>
                <w:sz w:val="20"/>
                <w:szCs w:val="20"/>
              </w:rPr>
            </w:pPr>
            <w:r w:rsidRPr="00355238">
              <w:rPr>
                <w:rStyle w:val="Strong"/>
                <w:rFonts w:ascii="Arial" w:hAnsi="Arial" w:cs="Arial"/>
                <w:sz w:val="20"/>
                <w:szCs w:val="20"/>
              </w:rPr>
              <w:t>PO4</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Bins and bin storage areas are provided, designed and managed in accordance with Planning scheme policy – Waste.</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E4</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in the Planning scheme policy - Waste and is demonstrated in a waste management program.</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Car parking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PO5</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On-site car parking associated with an activity provides safe and convenient on-site parking and manoeuvring to meet anticipated parking demand.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rsidTr="00355238">
              <w:trPr>
                <w:tblCellSpacing w:w="15" w:type="dxa"/>
              </w:trPr>
              <w:tc>
                <w:tcPr>
                  <w:tcW w:w="9067" w:type="dxa"/>
                  <w:vAlign w:val="center"/>
                  <w:hideMark/>
                </w:tcPr>
                <w:p w:rsidR="00355238" w:rsidRPr="00355238" w:rsidRDefault="00355238" w:rsidP="00355238">
                  <w:pPr>
                    <w:rPr>
                      <w:rFonts w:ascii="Arial" w:eastAsia="Times New Roman" w:hAnsi="Arial" w:cs="Arial"/>
                      <w:sz w:val="20"/>
                      <w:szCs w:val="20"/>
                    </w:rPr>
                  </w:pPr>
                  <w:r w:rsidRPr="00E41BF3">
                    <w:rPr>
                      <w:rFonts w:ascii="Arial" w:eastAsia="Times New Roman" w:hAnsi="Arial" w:cs="Arial"/>
                      <w:sz w:val="18"/>
                      <w:szCs w:val="20"/>
                    </w:rPr>
                    <w:t>Note - Refer to Planning scheme policy - Integrated transport assessment for guidance on how to achieve compliance with this outcome.</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E5</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Car parking is provided in accordance with Schedule 7 - Car parking.</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rHeight w:val="225"/>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Noise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PO6</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generating uses do not adversely affect existing or potential noise sensitive uses.  </w:t>
            </w:r>
          </w:p>
          <w:tbl>
            <w:tblPr>
              <w:tblW w:w="42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0"/>
            </w:tblGrid>
            <w:tr w:rsidR="00355238" w:rsidRPr="00355238" w:rsidTr="00E41BF3">
              <w:trPr>
                <w:trHeight w:val="337"/>
                <w:tblCellSpacing w:w="15" w:type="dxa"/>
              </w:trPr>
              <w:tc>
                <w:tcPr>
                  <w:tcW w:w="4140" w:type="dxa"/>
                  <w:vAlign w:val="center"/>
                  <w:hideMark/>
                </w:tcPr>
                <w:p w:rsidR="00355238" w:rsidRPr="00E41BF3" w:rsidRDefault="00355238" w:rsidP="00355238">
                  <w:pPr>
                    <w:pStyle w:val="NormalWeb"/>
                    <w:rPr>
                      <w:rFonts w:ascii="Arial" w:hAnsi="Arial" w:cs="Arial"/>
                      <w:sz w:val="18"/>
                      <w:szCs w:val="20"/>
                    </w:rPr>
                  </w:pPr>
                  <w:r w:rsidRPr="00E41BF3">
                    <w:rPr>
                      <w:rFonts w:ascii="Arial" w:hAnsi="Arial" w:cs="Arial"/>
                      <w:sz w:val="18"/>
                      <w:szCs w:val="20"/>
                    </w:rPr>
                    <w:t>Note - The use of walls, barriers or fences that are visible from or adjoin a road or public area are not appropriate noise attenuation measures.</w:t>
                  </w:r>
                </w:p>
              </w:tc>
            </w:tr>
            <w:tr w:rsidR="00355238" w:rsidRPr="00355238" w:rsidTr="00E41BF3">
              <w:trPr>
                <w:trHeight w:val="337"/>
                <w:tblCellSpacing w:w="15" w:type="dxa"/>
              </w:trPr>
              <w:tc>
                <w:tcPr>
                  <w:tcW w:w="4140" w:type="dxa"/>
                  <w:vAlign w:val="center"/>
                  <w:hideMark/>
                </w:tcPr>
                <w:p w:rsidR="00355238" w:rsidRPr="00E41BF3" w:rsidRDefault="00355238" w:rsidP="00355238">
                  <w:pPr>
                    <w:pStyle w:val="NormalWeb"/>
                    <w:rPr>
                      <w:rFonts w:ascii="Arial" w:hAnsi="Arial" w:cs="Arial"/>
                      <w:sz w:val="18"/>
                      <w:szCs w:val="20"/>
                    </w:rPr>
                  </w:pPr>
                  <w:r w:rsidRPr="00E41BF3">
                    <w:rPr>
                      <w:rFonts w:ascii="Arial" w:hAnsi="Arial" w:cs="Arial"/>
                      <w:sz w:val="18"/>
                      <w:szCs w:val="20"/>
                    </w:rPr>
                    <w:lastRenderedPageBreak/>
                    <w:t>Note - A noise impact assessment may be required to demonstrate compliance with this PO.  Noise impact assessments are to be prepared in accordance with Planning scheme policy - Noise.</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lastRenderedPageBreak/>
              <w:t>No example provided. </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355238" w:rsidRPr="00355238" w:rsidTr="00D977B2">
        <w:trPr>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PO7</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Sensitive land uses are provided with an appropriate acoustic environment within designated external private outdoor living spaces and internal areas while:</w:t>
            </w:r>
          </w:p>
          <w:p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maintaining the amenity of the streetscape. </w:t>
            </w:r>
          </w:p>
          <w:tbl>
            <w:tblPr>
              <w:tblW w:w="423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355238" w:rsidRPr="00355238" w:rsidTr="00E41BF3">
              <w:trPr>
                <w:trHeight w:val="285"/>
                <w:tblCellSpacing w:w="15" w:type="dxa"/>
              </w:trPr>
              <w:tc>
                <w:tcPr>
                  <w:tcW w:w="4175" w:type="dxa"/>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55238" w:rsidRPr="00355238" w:rsidTr="00E41BF3">
              <w:trPr>
                <w:trHeight w:val="285"/>
                <w:tblCellSpacing w:w="15" w:type="dxa"/>
              </w:trPr>
              <w:tc>
                <w:tcPr>
                  <w:tcW w:w="4175" w:type="dxa"/>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E7.1</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outlined in the Planning Scheme Policy – Noise.</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E7.2</w:t>
            </w:r>
          </w:p>
          <w:p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attenuation structures (e.g. walls, barriers or fences):</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visible from an adjoining road or public area unless:</w:t>
            </w:r>
          </w:p>
          <w:p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a motorway or rail line; or</w:t>
            </w:r>
          </w:p>
          <w:p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remove existing or prevent future active transport routes or connections to the street network;</w:t>
            </w:r>
          </w:p>
          <w:p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9"/>
            </w:tblGrid>
            <w:tr w:rsidR="00355238" w:rsidRPr="00355238" w:rsidTr="00355238">
              <w:trPr>
                <w:tblCellSpacing w:w="15" w:type="dxa"/>
              </w:trPr>
              <w:tc>
                <w:tcPr>
                  <w:tcW w:w="5619" w:type="dxa"/>
                  <w:vAlign w:val="center"/>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r w:rsidR="00355238" w:rsidRPr="00355238" w:rsidTr="00355238">
              <w:trPr>
                <w:tblCellSpacing w:w="15" w:type="dxa"/>
              </w:trPr>
              <w:tc>
                <w:tcPr>
                  <w:tcW w:w="5619" w:type="dxa"/>
                  <w:vAlign w:val="center"/>
                  <w:hideMark/>
                </w:tcPr>
                <w:p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Overlay map – Active transport for future active transport routes.</w:t>
                  </w:r>
                </w:p>
              </w:tc>
            </w:tr>
          </w:tbl>
          <w:p w:rsidR="00355238" w:rsidRPr="00355238" w:rsidRDefault="00355238" w:rsidP="00355238">
            <w:pPr>
              <w:rPr>
                <w:rFonts w:ascii="Arial" w:eastAsia="Times New Roman" w:hAnsi="Arial" w:cs="Arial"/>
                <w:sz w:val="20"/>
                <w:szCs w:val="20"/>
              </w:rPr>
            </w:pP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Clearing of habitat trees where not located within the Environmental areas overlay map</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355238">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PO8</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Development ensures that the biodiversity quality and integrity of habitats is not adversely impacted upon but maintained and protected.</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lastRenderedPageBreak/>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rsidTr="00355238">
              <w:trPr>
                <w:tblCellSpacing w:w="15" w:type="dxa"/>
              </w:trPr>
              <w:tc>
                <w:tcPr>
                  <w:tcW w:w="9067" w:type="dxa"/>
                  <w:vAlign w:val="center"/>
                  <w:hideMark/>
                </w:tcPr>
                <w:p w:rsidR="00355238" w:rsidRPr="00355238" w:rsidRDefault="00355238" w:rsidP="00355238">
                  <w:pPr>
                    <w:pStyle w:val="NormalWeb"/>
                    <w:rPr>
                      <w:rFonts w:ascii="Arial" w:hAnsi="Arial" w:cs="Arial"/>
                      <w:sz w:val="20"/>
                      <w:szCs w:val="20"/>
                    </w:rPr>
                  </w:pPr>
                  <w:r w:rsidRPr="00E41BF3">
                    <w:rPr>
                      <w:rFonts w:ascii="Arial" w:hAnsi="Arial" w:cs="Arial"/>
                      <w:sz w:val="18"/>
                      <w:szCs w:val="20"/>
                    </w:rPr>
                    <w:t>Note: Further guidance on habitat trees is provided in Planning scheme policy - Environmental areas</w:t>
                  </w:r>
                </w:p>
              </w:tc>
            </w:tr>
          </w:tbl>
          <w:p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Fonts w:ascii="Arial" w:hAnsi="Arial" w:cs="Arial"/>
                <w:sz w:val="20"/>
                <w:szCs w:val="20"/>
              </w:rPr>
              <w:lastRenderedPageBreak/>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r w:rsidR="00D977B2" w:rsidRPr="00355238" w:rsidTr="00D977B2">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355238">
            <w:pPr>
              <w:pStyle w:val="NormalWeb"/>
              <w:jc w:val="center"/>
              <w:rPr>
                <w:rStyle w:val="Strong"/>
                <w:rFonts w:ascii="Arial" w:hAnsi="Arial" w:cs="Arial"/>
                <w:sz w:val="20"/>
                <w:szCs w:val="20"/>
              </w:rPr>
            </w:pPr>
            <w:r w:rsidRPr="00355238">
              <w:rPr>
                <w:rStyle w:val="Strong"/>
                <w:rFonts w:ascii="Arial" w:hAnsi="Arial" w:cs="Arial"/>
                <w:sz w:val="20"/>
                <w:szCs w:val="20"/>
              </w:rPr>
              <w:t>Works criteria</w:t>
            </w:r>
          </w:p>
        </w:tc>
      </w:tr>
      <w:tr w:rsidR="00355238" w:rsidRPr="00355238"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Utilities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355238" w:rsidRPr="00355238"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PO9</w:t>
            </w:r>
          </w:p>
          <w:p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3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rsidR="00355238" w:rsidRPr="00355238" w:rsidRDefault="00355238" w:rsidP="00355238">
            <w:pPr>
              <w:pStyle w:val="NormalWeb"/>
              <w:rPr>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0"/>
        <w:gridCol w:w="6010"/>
        <w:gridCol w:w="1830"/>
        <w:gridCol w:w="3192"/>
      </w:tblGrid>
      <w:tr w:rsidR="00355238" w:rsidRPr="00355238"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Access</w:t>
            </w:r>
          </w:p>
        </w:tc>
        <w:tc>
          <w:tcPr>
            <w:tcW w:w="586"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layout of the development does not compromise:</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development of the road network in the area;</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function or safety of the road network;</w:t>
            </w:r>
          </w:p>
          <w:p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15"/>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hierarchy is mapped on Overlay map - Road hierarchy.</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provides for the extension of the road network in the area in accordance with Council’s road network planning.</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compromise future road widening of frontage roads in accordance with the relevant standard and Council’s road planning.</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layout allows forward vehicular access to and from the site. </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Safe access is provided for all vehicles required to access the site.</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Site access and driveways are designed, located and constructed in accordance with:</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associated with a Dwelling house:</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not associated with a Dwelling house:</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AS/NZS2890.1 Parking facilities Part 1: Off street car parking;</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AS 2890.2 - Parking facilities Part 2: Off-street commercial vehicle facilities;</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p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Internal driveways, car parks and access ways are designed and constructed with a sealed pavement and in accordance with: </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AS/NZS 2890.1 Parking Facilities Part 1: Off street car parking;</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AS 2890.2 Parking Facilities Part 2: Off street commercial vehicle facilities; </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 and</w:t>
            </w:r>
          </w:p>
          <w:p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This includes queue lengths (refer to Schedule 8 - Service vehicle requirements), pavement widths and construction.</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Landscaping (including shade trees) is provided within car parks in accordance with Planning scheme policy - Integrated design.</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Editor's note - Where associated with a State-controlled road, further requirements may apply, and approvals may be required from the Department of Transport and Main Roads</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network is mapped on Overlay map - Road hierarchy. </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PO14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QUDM for requirements regarding trafficability. </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E14.2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Culverts and causeways do not increase inundation levels or increase velocities, for all events up to the defined flood event, to upstream or downstream properties.</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Street design and layout</w:t>
            </w:r>
          </w:p>
        </w:tc>
        <w:tc>
          <w:tcPr>
            <w:tcW w:w="586"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access to premises by providing convenient vehicular movement for residents between their homes and the major road network;</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safe and convenient pedestrian and cycle movement;</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adequate on street parking;</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stormwater drainage paths and treatment facilities;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efficient public transport routes;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utility services location;</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emergency access and waste collection;</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lastRenderedPageBreak/>
              <w:t>setting and approach (streetscape, landscaping and street furniture) for adjoining residences;</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expected traffic speeds and volumes; and</w:t>
            </w:r>
          </w:p>
          <w:p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Environmental areas and corridors for examples of when and where wildlife movement infrastructure is required.</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E41BF3">
        <w:trPr>
          <w:trHeight w:val="3251"/>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lastRenderedPageBreak/>
                    <w:t>Development is within 200m of a transport sensitive location such as a school, shopping centre, bus or train station or a large generator of pedestrian or vehicular traffic;</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access onto a sub arterial, or arterial road or within 100m of a signalised intersection;</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Residential development greater than 50 lots or dwellings;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Offices greater than 4,000m</w:t>
                  </w:r>
                  <w:r w:rsidRPr="00E41BF3">
                    <w:rPr>
                      <w:rFonts w:ascii="Arial" w:hAnsi="Arial" w:cs="Arial"/>
                      <w:sz w:val="18"/>
                      <w:szCs w:val="20"/>
                      <w:vertAlign w:val="superscript"/>
                    </w:rPr>
                    <w:t>2</w:t>
                  </w:r>
                  <w:r w:rsidRPr="00E41BF3">
                    <w:rPr>
                      <w:rFonts w:ascii="Arial" w:hAnsi="Arial" w:cs="Arial"/>
                      <w:sz w:val="18"/>
                      <w:szCs w:val="20"/>
                    </w:rPr>
                    <w:t> Gross Floor Area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Retail activities including Hardware and trade supplies, Showroom, Shop or Shopping centre greater than 1,000m</w:t>
                  </w:r>
                  <w:r w:rsidRPr="00E41BF3">
                    <w:rPr>
                      <w:rFonts w:ascii="Arial" w:hAnsi="Arial" w:cs="Arial"/>
                      <w:sz w:val="18"/>
                      <w:szCs w:val="20"/>
                      <w:vertAlign w:val="superscript"/>
                    </w:rPr>
                    <w:t>2</w:t>
                  </w:r>
                  <w:r w:rsidRPr="00E41BF3">
                    <w:rPr>
                      <w:rFonts w:ascii="Arial" w:hAnsi="Arial" w:cs="Arial"/>
                      <w:sz w:val="18"/>
                      <w:szCs w:val="20"/>
                    </w:rPr>
                    <w:t>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Warehouses and Industry greater than 6,000m</w:t>
                  </w:r>
                  <w:r w:rsidRPr="00E41BF3">
                    <w:rPr>
                      <w:rStyle w:val="Emphasis"/>
                      <w:rFonts w:ascii="Arial" w:hAnsi="Arial" w:cs="Arial"/>
                      <w:sz w:val="18"/>
                      <w:szCs w:val="20"/>
                      <w:vertAlign w:val="superscript"/>
                    </w:rPr>
                    <w:t>2</w:t>
                  </w:r>
                  <w:r w:rsidRPr="00E41BF3">
                    <w:rPr>
                      <w:rFonts w:ascii="Arial" w:hAnsi="Arial" w:cs="Arial"/>
                      <w:sz w:val="18"/>
                      <w:szCs w:val="20"/>
                    </w:rPr>
                    <w:t> GFA;</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On-site carpark greater than 100 spaces;</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has a trip generation rate of 100 vehicles or more within the peak hour;</w:t>
                  </w:r>
                </w:p>
                <w:p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which dissects or significantly impacts on an environmental area or an environmental corridor.</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t>
                  </w:r>
                  <w:r w:rsidRPr="00E41BF3">
                    <w:rPr>
                      <w:rFonts w:ascii="Arial" w:hAnsi="Arial" w:cs="Arial"/>
                      <w:sz w:val="18"/>
                      <w:szCs w:val="20"/>
                    </w:rPr>
                    <w:lastRenderedPageBreak/>
                    <w:t>works or contribution required by the applicant as identified in the study.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new road intersections and along road frontages wherever practicable.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E41BF3">
        <w:trPr>
          <w:trHeight w:val="3281"/>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upgraded road intersections and along road frontages wherever practicable.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active transport network is extended in accordance with Planning scheme policy - Integrated design.</w:t>
            </w:r>
          </w:p>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 spacing (centreline – centreline) along a through road conforms with the following:</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access or residential street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60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40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 local collector or district collector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100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60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 sub-arterial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250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100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arterial function:</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350 metres; or</w:t>
            </w:r>
          </w:p>
          <w:p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150 metres.</w:t>
            </w:r>
          </w:p>
          <w:p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Based on the absolute minimum intersection spacing identified above, all turns access may not be permitted (ie. left in/left out only) at intersections with sub-arterial roads or arterial roads.</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Frontage roads include streets where no direct lot access is provided.</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892"/>
              <w:gridCol w:w="2892"/>
              <w:gridCol w:w="45"/>
            </w:tblGrid>
            <w:tr w:rsidR="00355238" w:rsidRPr="00355238"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Minimum construction</w:t>
                  </w:r>
                </w:p>
              </w:tc>
            </w:tr>
            <w:tr w:rsidR="00355238" w:rsidRPr="00355238"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unconstructed or gravel road only;</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OR</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sealed but not constructed* to Planning scheme policy - Integrated design standard;</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OR</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minimum total travel lane width is:</w:t>
                  </w:r>
                </w:p>
                <w:p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6m for minor roads;</w:t>
                  </w:r>
                </w:p>
                <w:p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7m for major roads.</w:t>
                  </w:r>
                </w:p>
                <w:p w:rsidR="00355238" w:rsidRPr="00355238" w:rsidRDefault="00355238" w:rsidP="00E41BF3">
                  <w:pPr>
                    <w:rPr>
                      <w:rFonts w:ascii="Arial" w:eastAsia="Times New Roman" w:hAnsi="Arial" w:cs="Arial"/>
                      <w:sz w:val="20"/>
                      <w:szCs w:val="20"/>
                    </w:rPr>
                  </w:pPr>
                </w:p>
              </w:tc>
            </w:tr>
            <w:tr w:rsidR="00355238" w:rsidRPr="00E41BF3" w:rsidTr="00E41BF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Major roads are sub-arterial roads and arterial roads.  Minor roads are roads that are not major roads.</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Construction includes all associated works (services, street lighting and linemarking).</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Alignment within road reserves is to be agreed with Council.</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8"/>
        <w:gridCol w:w="5989"/>
        <w:gridCol w:w="1849"/>
        <w:gridCol w:w="3186"/>
      </w:tblGrid>
      <w:tr w:rsidR="00355238" w:rsidRPr="00355238"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Stormwater</w:t>
            </w:r>
          </w:p>
        </w:tc>
        <w:tc>
          <w:tcPr>
            <w:tcW w:w="592"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capacity of all minor drainage systems are designed in accordance with Planning scheme policy - Integrated design. </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pipe network capacity is to be calculated in accordance with the Hydraulic Grade Line method as detailed in Australian Rainfall and Runoff or QUDM.</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is provided in accordance with the relevant level as identified in QUDM.</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Major stormwater drainage system(s) have the capacity to safely convey stormwater flows for </w:t>
            </w:r>
            <w:r w:rsidRPr="00355238">
              <w:rPr>
                <w:rFonts w:ascii="Arial" w:hAnsi="Arial" w:cs="Arial"/>
                <w:sz w:val="20"/>
                <w:szCs w:val="20"/>
              </w:rPr>
              <w:lastRenderedPageBreak/>
              <w:t>the 1% AEP event for the fully developed upstream catchment.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E20.1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internal drainage system safely and adequately conveys the stormwater flows for the 1% AEP event for the fully developed upstream catchment through the site.</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Refer to QUDM for recommended average flow velocities.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stormwater drainage system is designed and constructed in accordance with Planning scheme policy - Integrated design.</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Integrated design for details.</w:t>
                  </w:r>
                </w:p>
              </w:tc>
            </w:tr>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E41BF3">
                    <w:rPr>
                      <w:rFonts w:ascii="Arial" w:hAnsi="Arial" w:cs="Arial"/>
                      <w:sz w:val="18"/>
                      <w:szCs w:val="20"/>
                    </w:rPr>
                    <w:br/>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w:t>
            </w:r>
          </w:p>
          <w:p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rPr>
              <w:t>is for an urban purpose that involves a land area of 2500m</w:t>
            </w:r>
            <w:r w:rsidRPr="00355238">
              <w:rPr>
                <w:rFonts w:ascii="Arial" w:hAnsi="Arial" w:cs="Arial"/>
                <w:sz w:val="20"/>
                <w:szCs w:val="20"/>
                <w:vertAlign w:val="superscript"/>
              </w:rPr>
              <w:t>2</w:t>
            </w:r>
            <w:r w:rsidRPr="00355238">
              <w:rPr>
                <w:rFonts w:ascii="Arial" w:hAnsi="Arial" w:cs="Arial"/>
                <w:sz w:val="20"/>
                <w:szCs w:val="20"/>
              </w:rPr>
              <w:t xml:space="preserve"> or greater; and</w:t>
            </w:r>
          </w:p>
          <w:p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lastRenderedPageBreak/>
              <w:t>will result in:</w:t>
            </w:r>
          </w:p>
          <w:p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6 or more dwellings; or</w:t>
            </w:r>
          </w:p>
          <w:p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an </w:t>
            </w:r>
            <w:r w:rsidRPr="00355238">
              <w:rPr>
                <w:rFonts w:ascii="Arial" w:hAnsi="Arial" w:cs="Arial"/>
                <w:sz w:val="20"/>
                <w:szCs w:val="20"/>
              </w:rPr>
              <w:t>impervious area greater than 25% of the net developable area,</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management facilities (excluding outlets) are located outside of riparian areas and prevent increased channel bed and bank erosion.</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Site works and construction management</w:t>
            </w:r>
          </w:p>
        </w:tc>
        <w:tc>
          <w:tcPr>
            <w:tcW w:w="592"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site and any existing structures are maintained in a tidy and safe condition.</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works on-site are managed to:</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lastRenderedPageBreak/>
              <w:t>minimise as far as practicable, impacts on adjoining or adjacent premises and the streetscape in regard to erosion and sedimentation, dust, noise, safety and light;</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minimise as far as possible, impacts on the natural environment;</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ensure stormwater discharge is managed in a manner that does not cause actionable nuisance to any person or premises;</w:t>
            </w:r>
          </w:p>
          <w:p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avoid adverse impacts on street trees and their critical root zone.</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Works incorporate temporary stormwater runoff, erosion and sediment controls and trash removal devices designed in accordance with the Urban Stormwater Quality Planning </w:t>
            </w:r>
            <w:r w:rsidRPr="00355238">
              <w:rPr>
                <w:rFonts w:ascii="Arial" w:hAnsi="Arial" w:cs="Arial"/>
                <w:sz w:val="20"/>
                <w:szCs w:val="20"/>
              </w:rPr>
              <w:lastRenderedPageBreak/>
              <w:t>Guidelines, State Planning Policy, Schedule 10 - Stormwater management design objectives, Planning scheme policy - Stormwater management and Planning scheme policy - Integrated design, including but not limited to the following:</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is not discharged to adjacent properties in a manner that differs significantly from pre-existing conditions;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discharged to adjoining and downstream properties does not cause scour or erosion of any kind;</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 rates do not exceed pre-existing conditions;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minimum design storm for all temporary diversion drains and sedimentation basins in accordance with Schedule 10 - Stormwater management design objectives;</w:t>
            </w:r>
          </w:p>
          <w:p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ponding or concentration of stormwater does not occur on adjoining properties.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measures are adjusted on-site to maximise their effectiveness.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Dust suppression measures are implemented during soil disturbances and construction works to protect nearby premises from unreasonable dust impacts. </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dust emissions extend beyond the boundaries of the site during soil disturbances and construction works.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haulage route must be identified and approved by Council where imported or exported material is transported to the site via a road of Local Collector standard or less, and:</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1000m</w:t>
                  </w:r>
                  <w:r w:rsidRPr="00E41BF3">
                    <w:rPr>
                      <w:rFonts w:ascii="Arial" w:hAnsi="Arial" w:cs="Arial"/>
                      <w:sz w:val="18"/>
                      <w:szCs w:val="20"/>
                      <w:vertAlign w:val="superscript"/>
                    </w:rPr>
                    <w:t>3</w:t>
                  </w:r>
                  <w:r w:rsidRPr="00E41BF3">
                    <w:rPr>
                      <w:rFonts w:ascii="Arial" w:hAnsi="Arial" w:cs="Arial"/>
                      <w:sz w:val="18"/>
                      <w:szCs w:val="20"/>
                    </w:rPr>
                    <w:t>; or</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200m</w:t>
                  </w:r>
                  <w:r w:rsidRPr="00E41BF3">
                    <w:rPr>
                      <w:rFonts w:ascii="Arial" w:hAnsi="Arial" w:cs="Arial"/>
                      <w:sz w:val="18"/>
                      <w:szCs w:val="20"/>
                      <w:vertAlign w:val="superscript"/>
                    </w:rPr>
                    <w:t>3</w:t>
                  </w:r>
                  <w:r w:rsidRPr="00E41BF3">
                    <w:rPr>
                      <w:rFonts w:ascii="Arial" w:hAnsi="Arial" w:cs="Arial"/>
                      <w:sz w:val="18"/>
                      <w:szCs w:val="20"/>
                    </w:rPr>
                    <w:t xml:space="preserve"> per day; or</w:t>
                  </w:r>
                </w:p>
                <w:p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lastRenderedPageBreak/>
                    <w:t>the proposed haulage route involves a vulnerable land use or shopping centre.</w:t>
                  </w:r>
                </w:p>
              </w:tc>
            </w:tr>
          </w:tbl>
          <w:p w:rsidR="00355238" w:rsidRPr="00355238" w:rsidRDefault="00355238" w:rsidP="00E41BF3">
            <w:pPr>
              <w:rPr>
                <w:rFonts w:ascii="Arial" w:eastAsia="Times New Roman"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dilapidation report (including photographs) may be required for the haulage route to demonstrate compliance with this PO.</w:t>
                  </w:r>
                </w:p>
              </w:tc>
            </w:tr>
            <w:tr w:rsidR="00355238" w:rsidRPr="00355238" w:rsidTr="00E41BF3">
              <w:trPr>
                <w:tblCellSpacing w:w="15" w:type="dxa"/>
              </w:trPr>
              <w:tc>
                <w:tcPr>
                  <w:tcW w:w="5000" w:type="pct"/>
                  <w:vAlign w:val="center"/>
                  <w:hideMark/>
                </w:tcPr>
                <w:p w:rsidR="00355238" w:rsidRPr="00E41BF3" w:rsidRDefault="00355238" w:rsidP="00E41BF3">
                  <w:pPr>
                    <w:pStyle w:val="NormalWeb"/>
                    <w:rPr>
                      <w:rFonts w:ascii="Arial" w:hAnsi="Arial" w:cs="Arial"/>
                      <w:sz w:val="18"/>
                      <w:szCs w:val="20"/>
                    </w:rPr>
                  </w:pPr>
                  <w:r w:rsidRPr="00E41BF3">
                    <w:rPr>
                      <w:rFonts w:ascii="Arial" w:hAnsi="Arial" w:cs="Arial"/>
                      <w:sz w:val="18"/>
                      <w:szCs w:val="20"/>
                    </w:rPr>
                    <w:t>Editor's note - Where associated with a State-controlled road, further requirements may apply, and approval may be required from the Department of Transport and Main Roads.</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E29.1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355238" w:rsidRPr="00355238" w:rsidRDefault="00355238" w:rsidP="00E41BF3">
            <w:pPr>
              <w:spacing w:after="240"/>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Any material dropped, deposited or spilled on the road(s) as a result of construction processes associated with the site are to be cleaned at all times.</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The road hierarchy is mapped on Overlay map - Road hierarchy.</w:t>
                  </w:r>
                </w:p>
              </w:tc>
            </w:tr>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A dilapidation report may be required to demonstrate compliance with this E.</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to the development site is obtained via an existing lawful access point.</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Refer to Planning scheme policy - Integrated design for details.</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At completion of construction all disturbed areas of the site are to be:</w:t>
            </w:r>
          </w:p>
          <w:p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topsoiled with a minimum compacted thickness of fifty (50) millimetres;</w:t>
            </w:r>
          </w:p>
          <w:p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lastRenderedPageBreak/>
                    <w:t>Note - These areas are to be maintained during any maintenance period to maximise grass coverage.</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Soil disturbances are staged into manageable areas of not greater than 3.5 ha.</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clearing of vegetation on-site:</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limited to the area of infrastructure works, building areas and other necessary areas for the works; and</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includes the removal of declared weeds and other materials which are detrimental to the intended use of the land;</w:t>
            </w:r>
          </w:p>
          <w:p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No burning of cleared vegetation is permitted.</w:t>
                  </w:r>
                </w:p>
              </w:tc>
            </w:tr>
          </w:tbl>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C72F83" w:rsidTr="00E41BF3">
              <w:trPr>
                <w:tblCellSpacing w:w="15" w:type="dxa"/>
              </w:trPr>
              <w:tc>
                <w:tcPr>
                  <w:tcW w:w="5000" w:type="pct"/>
                  <w:vAlign w:val="center"/>
                  <w:hideMark/>
                </w:tcPr>
                <w:p w:rsidR="00355238" w:rsidRPr="00C72F83" w:rsidRDefault="00355238" w:rsidP="00E41BF3">
                  <w:pPr>
                    <w:pStyle w:val="NormalWeb"/>
                    <w:rPr>
                      <w:rFonts w:ascii="Arial" w:hAnsi="Arial" w:cs="Arial"/>
                      <w:sz w:val="18"/>
                      <w:szCs w:val="20"/>
                    </w:rPr>
                  </w:pPr>
                  <w:r w:rsidRPr="00C72F83">
                    <w:rPr>
                      <w:rFonts w:ascii="Arial" w:hAnsi="Arial" w:cs="Arial"/>
                      <w:sz w:val="18"/>
                      <w:szCs w:val="20"/>
                    </w:rPr>
                    <w:t>Note - No parking of vehicles or storage of machinery or goods is to occur in these areas during development works.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Disposal of materials is managed in one or more of the following ways:</w:t>
            </w:r>
          </w:p>
          <w:p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cleared vegetation, declared weeds, stumps, rubbish, car bodies, scrap metal and the like are removed and disposed of in a Council land fill facility; or</w:t>
            </w:r>
          </w:p>
          <w:p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chipped vegetation must be stored in an approved location</w:t>
                  </w:r>
                  <w:r w:rsidRPr="00355238">
                    <w:rPr>
                      <w:rFonts w:ascii="Arial" w:hAnsi="Arial" w:cs="Arial"/>
                      <w:sz w:val="20"/>
                      <w:szCs w:val="20"/>
                    </w:rPr>
                    <w:t>.</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All development works are carried out at times which minimise noise impacts to residents.</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are carried out within the following times:</w:t>
            </w:r>
          </w:p>
          <w:p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lastRenderedPageBreak/>
              <w:t>Monday to Saturday (other than public holidays) between 6:30am and 6:30pm on the same day;</w:t>
            </w:r>
          </w:p>
          <w:p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rsidTr="00E41BF3">
              <w:trPr>
                <w:tblCellSpacing w:w="15" w:type="dxa"/>
              </w:trPr>
              <w:tc>
                <w:tcPr>
                  <w:tcW w:w="0" w:type="auto"/>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59"/>
        <w:gridCol w:w="5998"/>
        <w:gridCol w:w="1833"/>
        <w:gridCol w:w="3192"/>
      </w:tblGrid>
      <w:tr w:rsidR="00355238" w:rsidRPr="00355238" w:rsidTr="00355238">
        <w:trPr>
          <w:tblCellSpacing w:w="15" w:type="dxa"/>
        </w:trPr>
        <w:tc>
          <w:tcPr>
            <w:tcW w:w="3349" w:type="pct"/>
            <w:gridSpan w:val="2"/>
            <w:tcBorders>
              <w:top w:val="outset" w:sz="6" w:space="0" w:color="auto"/>
              <w:left w:val="outset" w:sz="6" w:space="0" w:color="auto"/>
              <w:bottom w:val="outset" w:sz="6" w:space="0" w:color="auto"/>
              <w:right w:val="outset" w:sz="6" w:space="0" w:color="auto"/>
            </w:tcBorders>
            <w:shd w:val="clear" w:color="auto" w:fill="D8D9D9"/>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Earthworks</w:t>
            </w:r>
          </w:p>
        </w:tc>
        <w:tc>
          <w:tcPr>
            <w:tcW w:w="587"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On-site earthworks are designed to consider the visual and amenity impact as they relate to:</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natural topographical features of the site;</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short and long-term slope stability;</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soft or compressible foundation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reactive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low density or potentially collapsing soils;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lastRenderedPageBreak/>
              <w:t>existing fill and soil contamination that may exist on-site;</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stability and maintenance of steep slopes and batters;</w:t>
            </w:r>
          </w:p>
          <w:p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excavation (cut) and fill and impacts on the amenity of adjoining lots (e.g. residential). </w:t>
            </w:r>
          </w:p>
          <w:p w:rsidR="00355238" w:rsidRPr="00355238" w:rsidRDefault="00355238" w:rsidP="00E41BF3">
            <w:pPr>
              <w:spacing w:after="240"/>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E35.1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Stabilisation measures are provided, as necessary, to ensure long-term stability and low maintenance of steep slopes and batters. </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1097"/>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Inspection and certification of steep slopes and batters is required by a suitably qualified and experienced RPEQ.</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1003"/>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 batters steeper than 1 (V) in 6 (H) on residential lots are fully turfed to prevent scour and erosion.</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132DB6">
        <w:trPr>
          <w:trHeight w:val="909"/>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filling or excavation is contained on-site and is free draining.</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 placed on-site is:</w:t>
            </w:r>
          </w:p>
          <w:p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limited to that area necessary for the approved use;</w:t>
            </w:r>
          </w:p>
          <w:p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clean and uncontaminated (i.e. no building waste, concrete, green waste, actual acid sulfate soils, potential acid sulfate soils or contaminated material etc.). </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fill is to be inspected and tested in accordance with Planning scheme policy - Operational works inspection, maintenance and bonding procedures.</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Embankments are stepped, terraced and landscaped to not adversely impact on the visual amenity of the surrounding area.</w:t>
            </w:r>
          </w:p>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E36</w:t>
            </w:r>
          </w:p>
          <w:p w:rsidR="00355238" w:rsidRDefault="00355238" w:rsidP="00E41BF3">
            <w:pPr>
              <w:pStyle w:val="NormalWeb"/>
              <w:rPr>
                <w:rFonts w:ascii="Arial" w:hAnsi="Arial" w:cs="Arial"/>
                <w:sz w:val="20"/>
                <w:szCs w:val="20"/>
              </w:rPr>
            </w:pPr>
            <w:r w:rsidRPr="00355238">
              <w:rPr>
                <w:rFonts w:ascii="Arial" w:hAnsi="Arial" w:cs="Arial"/>
                <w:sz w:val="20"/>
                <w:szCs w:val="20"/>
              </w:rPr>
              <w:t>Any embankments more than 1.5 metres in height are stepped, terraced and landscaped.</w:t>
            </w:r>
          </w:p>
          <w:p w:rsidR="00132DB6" w:rsidRPr="00355238" w:rsidRDefault="00132DB6" w:rsidP="00132DB6">
            <w:pPr>
              <w:pStyle w:val="NormalWeb"/>
              <w:jc w:val="center"/>
              <w:rPr>
                <w:rFonts w:ascii="Arial" w:hAnsi="Arial" w:cs="Arial"/>
                <w:sz w:val="20"/>
                <w:szCs w:val="20"/>
              </w:rPr>
            </w:pPr>
            <w:r w:rsidRPr="00132DB6">
              <w:rPr>
                <w:rFonts w:ascii="Arial" w:hAnsi="Arial" w:cs="Arial"/>
                <w:b/>
                <w:bCs/>
                <w:sz w:val="20"/>
                <w:szCs w:val="20"/>
              </w:rPr>
              <w:lastRenderedPageBreak/>
              <w:t>Figure - Embankment</w:t>
            </w:r>
          </w:p>
          <w:p w:rsidR="00355238" w:rsidRPr="00355238" w:rsidRDefault="00132DB6" w:rsidP="00E41BF3">
            <w:pPr>
              <w:pStyle w:val="NormalWeb"/>
              <w:jc w:val="center"/>
              <w:rPr>
                <w:rFonts w:ascii="Arial" w:hAnsi="Arial" w:cs="Arial"/>
                <w:sz w:val="20"/>
                <w:szCs w:val="20"/>
              </w:rPr>
            </w:pPr>
            <w:r>
              <w:rPr>
                <w:noProof/>
              </w:rPr>
              <w:drawing>
                <wp:inline distT="0" distB="0" distL="0" distR="0" wp14:anchorId="7CA2FE81" wp14:editId="49737329">
                  <wp:extent cx="3732530" cy="1428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2530" cy="1428750"/>
                          </a:xfrm>
                          <a:prstGeom prst="rect">
                            <a:avLst/>
                          </a:prstGeom>
                        </pic:spPr>
                      </pic:pic>
                    </a:graphicData>
                  </a:graphic>
                </wp:inline>
              </w:drawing>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is undertaken in a manner that:</w:t>
            </w:r>
          </w:p>
          <w:p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does not adversely impact on a Council or public sector entity maintained infrastructure or any drainage feature on, or adjacent to the land;</w:t>
            </w:r>
          </w:p>
          <w:p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that would result in any of the following is not carried out on-site:</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a reduction in cover over any Council or public sector entity infrastructure service to less than 600mm;</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rsidTr="00355238">
              <w:trPr>
                <w:tblCellSpacing w:w="15" w:type="dxa"/>
              </w:trPr>
              <w:tc>
                <w:tcPr>
                  <w:tcW w:w="5000" w:type="pct"/>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Public sector entity is defined in Schedule 2 of the Act.</w:t>
                  </w:r>
                </w:p>
              </w:tc>
            </w:tr>
            <w:tr w:rsidR="00355238" w:rsidRPr="00355238" w:rsidTr="00355238">
              <w:trPr>
                <w:tblCellSpacing w:w="15" w:type="dxa"/>
              </w:trPr>
              <w:tc>
                <w:tcPr>
                  <w:tcW w:w="4493"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All building work covered by QDC MP1.4 is excluded from this provision.</w:t>
                  </w:r>
                </w:p>
              </w:tc>
            </w:tr>
          </w:tbl>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PO38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adverse impacts on the hydrological and hydraulic capacity of the waterway or floodway;</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increased flood inundation outside the site;</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reduction in the flood storage capacity in the floodway;</w:t>
            </w:r>
          </w:p>
          <w:p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5000" w:type="pct"/>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and excavation undertaken on the development site are shaped in a manner which does not:</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prevent stormwater surface flow which, prior to commencement of the earthworks, passed onto the development site, from entering the land; or</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lastRenderedPageBreak/>
              <w:t>redirect stormwater surface flow away from existing flow paths; or</w:t>
            </w:r>
          </w:p>
          <w:p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divert stormwater surface flow onto adjacent land, (other than a road), in a manner which: </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concentrates the flow; or</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increases the flow rates of stormwater over the affected section of the adjacent land above the situation which existed prior to the diversion; or</w:t>
            </w:r>
          </w:p>
          <w:p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causes actionable nuisance to any person, property or premises.</w:t>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355238" w:rsidRPr="00355238"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rsidTr="00355238">
              <w:trPr>
                <w:tblCellSpacing w:w="15" w:type="dxa"/>
              </w:trPr>
              <w:tc>
                <w:tcPr>
                  <w:tcW w:w="3374"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Refer to Planning scheme policy - Residential design for guidance on how to achieve compliance with this performance outcome.</w:t>
                  </w:r>
                </w:p>
              </w:tc>
            </w:tr>
          </w:tbl>
          <w:p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Earth retaining structures: </w:t>
            </w:r>
          </w:p>
          <w:p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constructed of boulder rocks or timber;</w:t>
            </w:r>
          </w:p>
          <w:p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no greater than 900mm, are provided in accordance with Figure - Retaining on a boundary;</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Retaining on boundary</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53630A98" wp14:editId="199A4D8D">
                  <wp:extent cx="2876550" cy="1838325"/>
                  <wp:effectExtent l="0" t="0" r="0" b="9525"/>
                  <wp:docPr id="65"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p>
          <w:p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where height is greater than 1.5m, are to be setback and stepped 1.5m vertical: 1.5m horizontal, terraced, landscaped and drained as shown below.</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Cut</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4F9DD604" wp14:editId="75282F57">
                  <wp:extent cx="2876550" cy="2533650"/>
                  <wp:effectExtent l="0" t="0" r="0" b="0"/>
                  <wp:docPr id="66"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w:t>
            </w:r>
          </w:p>
          <w:p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Fill</w:t>
            </w:r>
          </w:p>
          <w:p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21AD1F48" wp14:editId="0995DE9B">
                  <wp:extent cx="2876550" cy="2600325"/>
                  <wp:effectExtent l="0" t="0" r="0" b="9525"/>
                  <wp:docPr id="67"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bl>
    <w:p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167"/>
        <w:gridCol w:w="5931"/>
        <w:gridCol w:w="1736"/>
        <w:gridCol w:w="3548"/>
      </w:tblGrid>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provisions under this heading only apply if:</w:t>
                  </w:r>
                </w:p>
                <w:p w:rsidR="00D977B2" w:rsidRPr="00355238" w:rsidRDefault="00D977B2" w:rsidP="00C772DA">
                  <w:pPr>
                    <w:numPr>
                      <w:ilvl w:val="0"/>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development is for, or incorporates:</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reconfiguring a lot for a community title scheme creating 1 or more vacant lots;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2 or more sole occupancy units on the same lot, or within the same community titles scheme;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a Tourist park</w:t>
                  </w:r>
                  <w:r w:rsidRPr="00355238">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eastAsia="Times New Roman" w:hAnsi="Arial" w:cs="Arial"/>
                        <w:sz w:val="20"/>
                        <w:szCs w:val="20"/>
                        <w:vertAlign w:val="superscript"/>
                      </w:rPr>
                      <w:t>84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with accommodation in the form of caravans or tents; or</w:t>
                  </w:r>
                </w:p>
                <w:p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outdoor sales</w:t>
                  </w:r>
                  <w:r w:rsidRPr="00355238">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55238">
                      <w:rPr>
                        <w:rStyle w:val="Hyperlink"/>
                        <w:rFonts w:ascii="Arial" w:eastAsia="Times New Roman" w:hAnsi="Arial" w:cs="Arial"/>
                        <w:sz w:val="20"/>
                        <w:szCs w:val="20"/>
                        <w:vertAlign w:val="superscript"/>
                      </w:rPr>
                      <w:t>54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outdoor processing or outdoor storage where involving combustible materials.</w:t>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AND</w:t>
                  </w:r>
                </w:p>
                <w:p w:rsidR="00D977B2" w:rsidRPr="00355238" w:rsidRDefault="00D977B2" w:rsidP="00C772DA">
                  <w:pPr>
                    <w:numPr>
                      <w:ilvl w:val="0"/>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none of the following exceptions apply:</w:t>
                  </w:r>
                </w:p>
                <w:p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distributor-retailer for the area has indicated, in its netserv plan, that the premises will not be served by that entity’s reticulated water supply; or</w:t>
                  </w:r>
                </w:p>
                <w:p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D977B2" w:rsidRPr="00355238" w:rsidTr="00B61B28">
              <w:trPr>
                <w:tblCellSpacing w:w="15" w:type="dxa"/>
              </w:trPr>
              <w:tc>
                <w:tcPr>
                  <w:tcW w:w="14924" w:type="dxa"/>
                  <w:vAlign w:val="center"/>
                  <w:hideMark/>
                </w:tcPr>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incorporates a fire fighting system that:</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satisfies the reasonable needs of the fire fighting entity for the area;</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appropriate for the size, shape and topography of the development and its surrounds;</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compatible with the operational equipment available to the fire fighting entity for the area;</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considers the fire hazard inherent in the materials comprising the development and their proximity to one another;</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considers the fire hazard inherent in the surrounds to the development site;</w:t>
            </w:r>
          </w:p>
          <w:p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E42.1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External fire hydrant facilities are provided on site to the standard prescribed under the relevant parts of </w:t>
            </w:r>
            <w:r w:rsidRPr="00355238">
              <w:rPr>
                <w:rStyle w:val="Emphasis"/>
                <w:rFonts w:ascii="Arial" w:hAnsi="Arial" w:cs="Arial"/>
                <w:sz w:val="20"/>
                <w:szCs w:val="20"/>
              </w:rPr>
              <w:t>Australian Standard AS 2419.1 (2005) – Fire Hydrant Installations</w:t>
            </w:r>
            <w:r w:rsidRPr="0035523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For this requirement for accepted development, the following are the relevant parts of AS 2419.1 (2005) that may be applicable:</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in regard to the form of any fire hydrant - Part 8.5 and Part 3.2.2.1, with the exception that for Tourist parks</w:t>
                  </w:r>
                  <w:r w:rsidRPr="00132DB6">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32DB6">
                      <w:rPr>
                        <w:rStyle w:val="Hyperlink"/>
                        <w:rFonts w:ascii="Arial" w:eastAsia="Times New Roman" w:hAnsi="Arial" w:cs="Arial"/>
                        <w:sz w:val="18"/>
                        <w:szCs w:val="20"/>
                        <w:vertAlign w:val="superscript"/>
                      </w:rPr>
                      <w:t>84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in regard to the general locational requirements for fire hydrants - Part 3.2.2.2 (a), (e), (f), (g) and (h) as well as Appendix B of AS 2419.1 (2005);</w:t>
                  </w:r>
                </w:p>
                <w:p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in regard to the proximity of hydrants to buildings and other facilities - Part 3.2.2.2 (b), (c) and (d), with the exception that:</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lastRenderedPageBreak/>
                    <w:t>for dwellings and their associated outbuildings, hydrant coverage need only extend to the roof and external walls of those buildings;</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caravans and tents, hydrant coverage need only extend to the roof of those tents and caravans;</w:t>
                  </w:r>
                </w:p>
                <w:p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outdoor sales</w:t>
                  </w:r>
                  <w:r w:rsidRPr="00132DB6">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processing or storage facilities, hydrant coverage is required across the entire area of the outdoor sales</w:t>
                  </w:r>
                  <w:r w:rsidRPr="00132DB6">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outdoor processing and outdoor storage facilities;</w:t>
                  </w:r>
                </w:p>
                <w:p w:rsidR="00355238" w:rsidRPr="00355238" w:rsidRDefault="00355238" w:rsidP="00C772DA">
                  <w:pPr>
                    <w:numPr>
                      <w:ilvl w:val="0"/>
                      <w:numId w:val="32"/>
                    </w:numPr>
                    <w:spacing w:before="100" w:beforeAutospacing="1" w:after="100" w:afterAutospacing="1"/>
                    <w:rPr>
                      <w:rFonts w:ascii="Arial" w:eastAsia="Times New Roman" w:hAnsi="Arial" w:cs="Arial"/>
                      <w:sz w:val="20"/>
                      <w:szCs w:val="20"/>
                    </w:rPr>
                  </w:pPr>
                  <w:r w:rsidRPr="00132DB6">
                    <w:rPr>
                      <w:rFonts w:ascii="Arial" w:eastAsia="Times New Roman" w:hAnsi="Arial" w:cs="Arial"/>
                      <w:sz w:val="18"/>
                      <w:szCs w:val="20"/>
                    </w:rPr>
                    <w:t>in regard to fire hydrant accessibility and clearance requirements - Part 3.5 and, where applicable, Part 3.6.</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width of no less than 3.5m;</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height of no less than 4.8m;</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constructed to be readily traversed by a 17 tonne HRV fire brigade pumping appliance;</w:t>
            </w:r>
          </w:p>
          <w:p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area for a fire brigade pumping appliance to stand within 20m of each fire hydrant and 8m of each hydrant booster point.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On-site fire hydrant facilities are maintained in effective operating order in a manner prescribed in </w:t>
            </w:r>
            <w:r w:rsidRPr="00355238">
              <w:rPr>
                <w:rStyle w:val="Emphasis"/>
                <w:rFonts w:ascii="Arial" w:hAnsi="Arial" w:cs="Arial"/>
                <w:sz w:val="20"/>
                <w:szCs w:val="20"/>
              </w:rPr>
              <w:t>Australian Standard AS1851 (2012) – Routine service of fire protection systems and equipment</w:t>
            </w:r>
            <w:r w:rsidRPr="00355238">
              <w:rPr>
                <w:rFonts w:ascii="Arial" w:hAnsi="Arial" w:cs="Arial"/>
                <w:sz w:val="20"/>
                <w:szCs w:val="20"/>
              </w:rPr>
              <w: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For development that contains on-site fire hydrants external to buildings:</w:t>
            </w:r>
          </w:p>
          <w:p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t>those external hydrants can be seen from the vehicular entry point to the site; or</w:t>
            </w:r>
          </w:p>
          <w:p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lastRenderedPageBreak/>
              <w:t>a sign identifying the following is provided at the vehicular entry point to the site:</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overall layout of the development (to scale);</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internal road names (where used);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all communal facilities (where provided);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reception area and on-site manager’s office (where provided);</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external hydrants and hydrant booster points;</w:t>
            </w:r>
          </w:p>
          <w:p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The sign prescribed above, and the graphics used are to be:</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in a form;</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of a size;</w:t>
                  </w:r>
                </w:p>
                <w:p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illuminated to a level;</w:t>
                  </w:r>
                </w:p>
                <w:p w:rsidR="00355238" w:rsidRPr="00355238" w:rsidRDefault="00355238" w:rsidP="00E41BF3">
                  <w:pPr>
                    <w:pStyle w:val="NormalWeb"/>
                    <w:rPr>
                      <w:rFonts w:ascii="Arial" w:hAnsi="Arial" w:cs="Arial"/>
                      <w:sz w:val="20"/>
                      <w:szCs w:val="20"/>
                    </w:rPr>
                  </w:pPr>
                  <w:r w:rsidRPr="00132DB6">
                    <w:rPr>
                      <w:rFonts w:ascii="Arial" w:hAnsi="Arial" w:cs="Arial"/>
                      <w:sz w:val="18"/>
                      <w:szCs w:val="20"/>
                    </w:rPr>
                    <w:t>which allows the information on the sign to be readily understood, at all times, by a person in a fire fighting appliance up to 4.5m from the sign.</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355238">
              <w:rPr>
                <w:rStyle w:val="Emphasis"/>
                <w:rFonts w:ascii="Arial" w:hAnsi="Arial" w:cs="Arial"/>
                <w:sz w:val="20"/>
                <w:szCs w:val="20"/>
              </w:rPr>
              <w:t>Fire hydrant indication system</w:t>
            </w:r>
            <w:r w:rsidRPr="00355238">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Default="00355238" w:rsidP="00E41BF3">
                  <w:pPr>
                    <w:rPr>
                      <w:rFonts w:ascii="Arial" w:eastAsia="Times New Roman" w:hAnsi="Arial" w:cs="Arial"/>
                      <w:sz w:val="18"/>
                      <w:szCs w:val="20"/>
                    </w:rPr>
                  </w:pPr>
                  <w:r w:rsidRPr="00132DB6">
                    <w:rPr>
                      <w:rFonts w:ascii="Arial" w:eastAsia="Times New Roman" w:hAnsi="Arial" w:cs="Arial"/>
                      <w:sz w:val="18"/>
                      <w:szCs w:val="20"/>
                    </w:rPr>
                    <w:t>Note - Technical note Fire hydrant indication system is available on the website of the Queensland Department of Transport and Main Roads.</w:t>
                  </w:r>
                </w:p>
                <w:p w:rsidR="00132DB6" w:rsidRPr="00355238" w:rsidRDefault="00132DB6" w:rsidP="00E41BF3">
                  <w:pPr>
                    <w:rPr>
                      <w:rFonts w:ascii="Arial" w:eastAsia="Times New Roman" w:hAnsi="Arial" w:cs="Arial"/>
                      <w:sz w:val="20"/>
                      <w:szCs w:val="20"/>
                    </w:rPr>
                  </w:pP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jc w:val="center"/>
              <w:rPr>
                <w:rFonts w:ascii="Arial" w:hAnsi="Arial" w:cs="Arial"/>
                <w:b/>
                <w:bCs/>
                <w:sz w:val="20"/>
                <w:szCs w:val="20"/>
              </w:rPr>
            </w:pPr>
            <w:r w:rsidRPr="00355238">
              <w:rPr>
                <w:rFonts w:ascii="Arial" w:hAnsi="Arial" w:cs="Arial"/>
                <w:b/>
                <w:bCs/>
                <w:sz w:val="20"/>
                <w:szCs w:val="20"/>
              </w:rPr>
              <w:t>Use specific criteria</w:t>
            </w: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Caretaker's accommodation</w:t>
            </w:r>
            <w:r w:rsidRPr="00355238">
              <w:rPr>
                <w:rFonts w:ascii="Arial" w:hAnsi="Arial" w:cs="Arial"/>
                <w:sz w:val="20"/>
                <w:szCs w:val="20"/>
                <w:vertAlign w:val="superscript"/>
              </w:rPr>
              <w:t>(</w:t>
            </w:r>
            <w:hyperlink r:id="rId16"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500"/>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Caretaker's accommodation</w:t>
            </w:r>
            <w:r w:rsidRPr="00355238">
              <w:rPr>
                <w:rFonts w:ascii="Arial" w:hAnsi="Arial" w:cs="Arial"/>
                <w:sz w:val="20"/>
                <w:szCs w:val="20"/>
                <w:vertAlign w:val="superscript"/>
              </w:rPr>
              <w:t>(</w:t>
            </w:r>
            <w:hyperlink r:id="rId17"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lastRenderedPageBreak/>
              <w:t>does not compromise the productivity of the use occurring on-site and in the surrounding area;</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domestic in scale;</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provides adequate car parking provisions exclusive on the primary use of the site;</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safe for the residents;</w:t>
            </w:r>
          </w:p>
          <w:p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has regard to the open space and recreation needs of the residents.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Caretaker's accommodation</w:t>
            </w:r>
            <w:r w:rsidRPr="00355238">
              <w:rPr>
                <w:rFonts w:ascii="Arial" w:hAnsi="Arial" w:cs="Arial"/>
                <w:sz w:val="20"/>
                <w:szCs w:val="20"/>
                <w:vertAlign w:val="superscript"/>
              </w:rPr>
              <w:t>(</w:t>
            </w:r>
            <w:hyperlink r:id="rId18"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lastRenderedPageBreak/>
              <w:t>a Caretaker's accommodation</w:t>
            </w:r>
            <w:r w:rsidRPr="00355238">
              <w:rPr>
                <w:rFonts w:ascii="Arial" w:hAnsi="Arial" w:cs="Arial"/>
                <w:sz w:val="20"/>
                <w:szCs w:val="20"/>
                <w:vertAlign w:val="superscript"/>
              </w:rPr>
              <w:t>(</w:t>
            </w:r>
            <w:hyperlink r:id="rId19"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has a maximum GFA of 80m</w:t>
            </w:r>
            <w:r w:rsidRPr="00355238">
              <w:rPr>
                <w:rFonts w:ascii="Arial" w:hAnsi="Arial" w:cs="Arial"/>
                <w:sz w:val="20"/>
                <w:szCs w:val="20"/>
                <w:vertAlign w:val="superscript"/>
              </w:rPr>
              <w:t>2</w:t>
            </w:r>
            <w:r w:rsidRPr="00355238">
              <w:rPr>
                <w:rFonts w:ascii="Arial" w:hAnsi="Arial" w:cs="Arial"/>
                <w:sz w:val="20"/>
                <w:szCs w:val="20"/>
              </w:rPr>
              <w:t>;</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no more than 1 Caretaker's accommodation</w:t>
            </w:r>
            <w:r w:rsidRPr="00355238">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is established per site;</w:t>
            </w:r>
          </w:p>
          <w:p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does not gain access from a separate driveway from a road frontage.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Food and drink outlet</w:t>
            </w:r>
            <w:r w:rsidRPr="00355238">
              <w:rPr>
                <w:rFonts w:ascii="Arial" w:hAnsi="Arial" w:cs="Arial"/>
                <w:sz w:val="20"/>
                <w:szCs w:val="20"/>
                <w:vertAlign w:val="superscript"/>
              </w:rPr>
              <w:t>(</w:t>
            </w:r>
            <w:hyperlink r:id="rId21"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98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Food and drink outlets</w:t>
            </w:r>
            <w:r w:rsidRPr="00355238">
              <w:rPr>
                <w:rFonts w:ascii="Arial" w:hAnsi="Arial" w:cs="Arial"/>
                <w:sz w:val="20"/>
                <w:szCs w:val="20"/>
                <w:vertAlign w:val="superscript"/>
              </w:rPr>
              <w:t>(</w:t>
            </w:r>
            <w:hyperlink r:id="rId22"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remain secondary and ancillary to an open space, sport or recreation use;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appear, act or function as a separate and stand-alone commercial activity but has a clearly expressed relationship with an open space, sport or recreation use;</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generate nuisance effects such as noise, dust and odour on the character and amenity of the recreation and open space areas or on adjoining properties;</w:t>
            </w:r>
          </w:p>
          <w:p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any liquor or gambling activities associated with a food and drink outlet</w:t>
            </w:r>
            <w:r w:rsidRPr="00355238">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 xml:space="preserve"> is a secondary and minor component.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GFA does not exceed 150m</w:t>
            </w:r>
            <w:r w:rsidRPr="00355238">
              <w:rPr>
                <w:rFonts w:ascii="Arial" w:hAnsi="Arial" w:cs="Arial"/>
                <w:sz w:val="20"/>
                <w:szCs w:val="20"/>
                <w:vertAlign w:val="superscript"/>
              </w:rPr>
              <w:t>2</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39"/>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Operates in conjunction with a recreation or open space use occurring on the same site,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Does not have a liquor or gambling licence,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Landing</w:t>
            </w:r>
            <w:r w:rsidRPr="00355238">
              <w:rPr>
                <w:rFonts w:ascii="Arial" w:hAnsi="Arial" w:cs="Arial"/>
                <w:sz w:val="20"/>
                <w:szCs w:val="20"/>
                <w:vertAlign w:val="superscript"/>
              </w:rPr>
              <w:t>(</w:t>
            </w:r>
            <w:hyperlink r:id="rId24"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PO47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associated with a landing</w:t>
            </w:r>
            <w:r w:rsidRPr="00355238">
              <w:rPr>
                <w:rFonts w:ascii="Arial" w:hAnsi="Arial" w:cs="Arial"/>
                <w:sz w:val="20"/>
                <w:szCs w:val="20"/>
                <w:vertAlign w:val="superscript"/>
              </w:rPr>
              <w:t>(</w:t>
            </w:r>
            <w:hyperlink r:id="rId25"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adverse impacts upon groundwater and surface water quality;</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adversely impact upon hydrological water flows;</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soil erosion;</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the loss of biodiversity quality and integrity of habitat;</w:t>
            </w:r>
          </w:p>
          <w:p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retains safe and convenient public access to waterways.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Major electricity infrastructure, Substation and Utility installation</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337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have an adverse impact on the visual amenity of a locality and is:</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camouflaged through the use of colours and materials which blend into the landscape;</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E48.1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designed to minimise surrounding land use conflicts by ensuring infrastructure, buildings, structures and other equipment:</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enclosed within buildings or structures;</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behind the main building line;</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a similar height, bulk and scale to the surrounding fabric;</w:t>
            </w:r>
          </w:p>
          <w:p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horizontal and vertical articulation applied to all exterior walls.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1425"/>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E48.2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outside of the fenced area, between the development and street frontage, side and rear boundaries.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Infrastructure does not have an impact on pedestrian health and safety.</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control arrangements:</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create dead-ends or dark alleyways adjacent to the infrastructure;</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 the number and width of crossovers and entry points;</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safe vehicular access to the site;</w:t>
            </w:r>
          </w:p>
          <w:p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utilise barbed wire or razor wire.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rHeight w:val="1605"/>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activities associated with the development occur within an environment incorporating sufficient controls to ensure the facility:</w:t>
            </w:r>
          </w:p>
          <w:p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generates no audible sound at the site boundaries where in a residential setting; or</w:t>
            </w:r>
          </w:p>
          <w:p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meet the objectives as set out in the Environmental Protection (Noise) Policy 2008.</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Market</w:t>
            </w:r>
            <w:r w:rsidRPr="00355238">
              <w:rPr>
                <w:rFonts w:ascii="Arial" w:hAnsi="Arial" w:cs="Arial"/>
                <w:sz w:val="20"/>
                <w:szCs w:val="20"/>
                <w:vertAlign w:val="superscript"/>
              </w:rPr>
              <w:t>(</w:t>
            </w:r>
            <w:hyperlink r:id="rId26"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4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Markets</w:t>
            </w:r>
            <w:r w:rsidRPr="00355238">
              <w:rPr>
                <w:rFonts w:ascii="Arial" w:hAnsi="Arial" w:cs="Arial"/>
                <w:sz w:val="20"/>
                <w:szCs w:val="20"/>
                <w:vertAlign w:val="superscript"/>
              </w:rPr>
              <w:t>(</w:t>
            </w:r>
            <w:hyperlink r:id="rId27"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lastRenderedPageBreak/>
              <w:t>remain limited in size, scale and intensity to avoid adverse detrimental impacts on the character and amenity of an adjoining area, including vehicle access, traffic generation, on and off-site car parking and pedestrian safety;</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have minimal economic impact on established businesses on commercially zoned land in the immediate vicinity;</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not generate nuisance effects such as noise, dust, odour, hours and  frequency of operation, on the character and amenity of the recreation and open space areas or on adjoining properties;</w:t>
            </w:r>
          </w:p>
          <w:p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does not adversely impact on the safe and efficient operation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market</w:t>
            </w:r>
            <w:r w:rsidRPr="00355238">
              <w:rPr>
                <w:rFonts w:ascii="Arial" w:hAnsi="Arial" w:cs="Arial"/>
                <w:sz w:val="20"/>
                <w:szCs w:val="20"/>
                <w:vertAlign w:val="superscript"/>
              </w:rPr>
              <w:t>(</w:t>
            </w:r>
            <w:hyperlink r:id="rId28"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does not impact on the ability to undertake activities associated with the primary recreation and open space purpose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w:t>
            </w:r>
            <w:r w:rsidRPr="00355238">
              <w:rPr>
                <w:rFonts w:ascii="Arial" w:hAnsi="Arial" w:cs="Arial"/>
                <w:sz w:val="20"/>
                <w:szCs w:val="20"/>
                <w:vertAlign w:val="superscript"/>
              </w:rPr>
              <w:t>(</w:t>
            </w:r>
            <w:hyperlink r:id="rId29"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operates as follows:</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2 days in any week;</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50 individual stalls;</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all activities, including set-up and pack-up, occur within the hours of 7.00am and 3.00pm;</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use of amplified music, public address systems and noise generating plant and equipment;</w:t>
            </w:r>
          </w:p>
          <w:p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waste containers are provided at a rate of 1 per food stall and 1 per 4 non-food stalls.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Tourist park</w:t>
            </w:r>
            <w:r w:rsidRPr="00355238">
              <w:rPr>
                <w:rFonts w:ascii="Arial" w:hAnsi="Arial" w:cs="Arial"/>
                <w:sz w:val="20"/>
                <w:szCs w:val="20"/>
                <w:vertAlign w:val="superscript"/>
              </w:rPr>
              <w:t>(</w:t>
            </w:r>
            <w:hyperlink r:id="rId3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Tourist park</w:t>
            </w:r>
            <w:r w:rsidRPr="00355238">
              <w:rPr>
                <w:rFonts w:ascii="Arial" w:hAnsi="Arial" w:cs="Arial"/>
                <w:sz w:val="20"/>
                <w:szCs w:val="20"/>
                <w:vertAlign w:val="superscript"/>
              </w:rPr>
              <w:t>(</w:t>
            </w:r>
            <w:hyperlink r:id="rId3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r w:rsidRPr="00355238">
              <w:rPr>
                <w:rFonts w:ascii="Arial" w:hAnsi="Arial" w:cs="Arial"/>
                <w:sz w:val="20"/>
                <w:szCs w:val="20"/>
              </w:rPr>
              <w:t>:</w:t>
            </w:r>
          </w:p>
          <w:p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is not, or does not act, as a permanent place of residence for persons where a typical period of time does not exceed 3 consecutive months;</w:t>
            </w:r>
          </w:p>
          <w:p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is located within a site area that is of sufficient size to:</w:t>
            </w:r>
          </w:p>
          <w:p w:rsidR="00355238" w:rsidRPr="00355238" w:rsidRDefault="00355238" w:rsidP="00C772DA">
            <w:pPr>
              <w:pStyle w:val="NormalWeb"/>
              <w:numPr>
                <w:ilvl w:val="1"/>
                <w:numId w:val="46"/>
              </w:numPr>
              <w:rPr>
                <w:rFonts w:ascii="Arial" w:hAnsi="Arial" w:cs="Arial"/>
                <w:sz w:val="20"/>
                <w:szCs w:val="20"/>
              </w:rPr>
            </w:pPr>
            <w:r w:rsidRPr="00355238">
              <w:rPr>
                <w:rFonts w:ascii="Arial" w:hAnsi="Arial" w:cs="Arial"/>
                <w:sz w:val="20"/>
                <w:szCs w:val="20"/>
              </w:rPr>
              <w:lastRenderedPageBreak/>
              <w:t>accommodate the proposed use and associated facilities including car parking;</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safe and convenient access to and within the site;</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achieve a high level of convenience and privacy for occupants; and</w:t>
            </w:r>
          </w:p>
          <w:p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provide for a high level of open space and on-site amenity for users; and</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setback and screened from all property boundaries to minimise adverse visual impacts on adjoining properties;</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landscaped and screened in a manner that achieves the design principles outlined in Planning scheme policy - Integrated design;</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create a safe environment by incorporating the key elements of crime prevention through environmental design (CPTED);</w:t>
            </w:r>
          </w:p>
          <w:p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does not adversely impact on the safe and efficient operations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Telecommunications facility</w:t>
            </w:r>
            <w:r w:rsidRPr="00355238">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Editor's note - In accordance with the Federal legislation Telecommunications facilities </w:t>
                  </w:r>
                  <w:r w:rsidRPr="00355238">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rHeight w:val="142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with existing telecommunications facilities</w:t>
            </w:r>
            <w:r w:rsidRPr="00355238">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Utility installation</w:t>
            </w:r>
            <w:r w:rsidRPr="00355238">
              <w:rPr>
                <w:rFonts w:ascii="Arial" w:hAnsi="Arial" w:cs="Arial"/>
                <w:sz w:val="20"/>
                <w:szCs w:val="20"/>
                <w:vertAlign w:val="superscript"/>
              </w:rPr>
              <w:t>(</w:t>
            </w:r>
            <w:hyperlink r:id="rId36" w:anchor="target-d768251e572573" w:tooltip="Utility installation - Premises used to provide the public with the following services:" w:history="1">
              <w:r w:rsidRPr="00355238">
                <w:rPr>
                  <w:rStyle w:val="Hyperlink"/>
                  <w:rFonts w:ascii="Arial" w:hAnsi="Arial" w:cs="Arial"/>
                  <w:sz w:val="20"/>
                  <w:szCs w:val="20"/>
                  <w:vertAlign w:val="superscript"/>
                </w:rPr>
                <w:t>86</w:t>
              </w:r>
            </w:hyperlink>
            <w:r w:rsidRPr="00355238">
              <w:rPr>
                <w:rFonts w:ascii="Arial" w:hAnsi="Arial" w:cs="Arial"/>
                <w:sz w:val="20"/>
                <w:szCs w:val="20"/>
                <w:vertAlign w:val="superscript"/>
              </w:rPr>
              <w:t>)</w:t>
            </w:r>
            <w:r w:rsidRPr="00355238">
              <w:rPr>
                <w:rFonts w:ascii="Arial" w:hAnsi="Arial" w:cs="Arial"/>
                <w:sz w:val="20"/>
                <w:szCs w:val="20"/>
              </w:rPr>
              <w:t xml:space="preserve">, Major </w:t>
            </w:r>
            <w:r w:rsidRPr="00355238">
              <w:rPr>
                <w:rFonts w:ascii="Arial" w:hAnsi="Arial" w:cs="Arial"/>
                <w:sz w:val="20"/>
                <w:szCs w:val="20"/>
              </w:rPr>
              <w:lastRenderedPageBreak/>
              <w:t>electricity infrastructure</w:t>
            </w:r>
            <w:r w:rsidRPr="00355238">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355238">
                <w:rPr>
                  <w:rStyle w:val="Hyperlink"/>
                  <w:rFonts w:ascii="Arial" w:hAnsi="Arial" w:cs="Arial"/>
                  <w:sz w:val="20"/>
                  <w:szCs w:val="20"/>
                  <w:vertAlign w:val="superscript"/>
                </w:rPr>
                <w:t>43</w:t>
              </w:r>
            </w:hyperlink>
            <w:r w:rsidRPr="00355238">
              <w:rPr>
                <w:rFonts w:ascii="Arial" w:hAnsi="Arial" w:cs="Arial"/>
                <w:sz w:val="20"/>
                <w:szCs w:val="20"/>
                <w:vertAlign w:val="superscript"/>
              </w:rPr>
              <w:t>)</w:t>
            </w:r>
            <w:r w:rsidRPr="00355238">
              <w:rPr>
                <w:rFonts w:ascii="Arial" w:hAnsi="Arial" w:cs="Arial"/>
                <w:sz w:val="20"/>
                <w:szCs w:val="20"/>
              </w:rPr>
              <w:t xml:space="preserve"> or Substation</w:t>
            </w:r>
            <w:r w:rsidRPr="00355238">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355238">
                <w:rPr>
                  <w:rStyle w:val="Hyperlink"/>
                  <w:rFonts w:ascii="Arial" w:hAnsi="Arial" w:cs="Arial"/>
                  <w:sz w:val="20"/>
                  <w:szCs w:val="20"/>
                  <w:vertAlign w:val="superscript"/>
                </w:rPr>
                <w:t>80</w:t>
              </w:r>
            </w:hyperlink>
            <w:r w:rsidRPr="00355238">
              <w:rPr>
                <w:rFonts w:ascii="Arial" w:hAnsi="Arial" w:cs="Arial"/>
                <w:sz w:val="20"/>
                <w:szCs w:val="20"/>
                <w:vertAlign w:val="superscript"/>
              </w:rPr>
              <w:t>)</w:t>
            </w:r>
            <w:r w:rsidRPr="00355238">
              <w:rPr>
                <w:rFonts w:ascii="Arial" w:hAnsi="Arial" w:cs="Arial"/>
                <w:sz w:val="20"/>
                <w:szCs w:val="20"/>
              </w:rPr>
              <w:t xml:space="preserve"> if there is already a facility in the same coverage area.</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E53.1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New telecommunication facilities</w:t>
            </w:r>
            <w:r w:rsidRPr="00355238">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on existing towers with new equipment shelter and associated structures positioned adjacent to the existing shelters and structures.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E53.2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If not co-located with an existing facility, all co-location opportunities have been investigated and fully exhausted within a 2km radius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new Telecommunications facility</w:t>
            </w:r>
            <w:r w:rsidRPr="00355238">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area of 45m</w:t>
            </w:r>
            <w:r w:rsidRPr="00355238">
              <w:rPr>
                <w:rFonts w:ascii="Arial" w:hAnsi="Arial" w:cs="Arial"/>
                <w:sz w:val="20"/>
                <w:szCs w:val="20"/>
                <w:vertAlign w:val="superscript"/>
              </w:rPr>
              <w:t>2</w:t>
            </w:r>
            <w:r w:rsidRPr="00355238">
              <w:rPr>
                <w:rFonts w:ascii="Arial" w:hAnsi="Arial" w:cs="Arial"/>
                <w:sz w:val="20"/>
                <w:szCs w:val="20"/>
              </w:rPr>
              <w:t xml:space="preserve"> is available to allow for additional equipment shelters and associated structures for the purpose of co-locating on the proposed facility.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 not conflict with lawful existing land uses both on and adjoining the site.</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132DB6">
        <w:trPr>
          <w:trHeight w:val="1422"/>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Telecommunications facility</w:t>
            </w:r>
            <w:r w:rsidRPr="00355238">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does not have an adverse impact on the visual amenity of a locality and is:</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camouflaged through the use of colours and materials which blend into the landscape;</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In all other areas towers do not exceed 35m in height.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Towers, equipment shelters and associated structures are of a design, colour and material to:</w:t>
            </w:r>
          </w:p>
          <w:p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recognition in the landscape;</w:t>
            </w:r>
          </w:p>
          <w:p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glare and reflectivity.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All structures and buildings are setback behind the main building line and a minimum of 10m from side and rear boundaries, except where in the Industry and Extractive industry zones, the minimum side and rear setback is 3m.</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there is no established building line the facility is located at the rear of the site.</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The facility is enclosed by security fencing or by other means to ensure public access is prohibited.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Landscaping is provided in accordance with Planning scheme policy - Integrated design.</w:t>
                  </w:r>
                </w:p>
              </w:tc>
            </w:tr>
            <w:tr w:rsidR="00355238" w:rsidRPr="00355238" w:rsidTr="00B61B28">
              <w:trPr>
                <w:tblCellSpacing w:w="15" w:type="dxa"/>
              </w:trPr>
              <w:tc>
                <w:tcPr>
                  <w:tcW w:w="10539"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Lawful access is maintained to the site at all times that does not alter the amenity of the landscape or surrounding uses.</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An Access and Landscape Plan demonstrates how 24 hour vehicular access will be obtained and maintained to the facility in a manner that is appropriate to the site’s context.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19"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All equipment comprising the Telecommunications facility</w:t>
            </w:r>
            <w:r w:rsidRPr="00355238">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jc w:val="center"/>
              <w:rPr>
                <w:rFonts w:ascii="Arial" w:hAnsi="Arial" w:cs="Arial"/>
                <w:sz w:val="20"/>
                <w:szCs w:val="20"/>
              </w:rPr>
            </w:pPr>
            <w:r w:rsidRPr="0035523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lastRenderedPageBreak/>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977B2" w:rsidRPr="00355238" w:rsidRDefault="00D977B2" w:rsidP="00E41BF3">
            <w:pPr>
              <w:pStyle w:val="NormalWeb"/>
              <w:jc w:val="center"/>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disturbing acid sulfate soils. Where development disturbs acid sulfate soils, development:</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managed to avoid or minimise the release of surface or groundwater flows containing acid and metal contaminants into the environment;</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protects the environmental and ecological values and health of receiving waters;</w:t>
            </w:r>
          </w:p>
          <w:p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protects buildings and infrastructure from the effects of acid sulfate soils.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involve:</w:t>
            </w:r>
          </w:p>
          <w:p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excavation or otherwise removing of more than 100m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soil or sediment where below than 5m Australian Height datum AHD; or</w:t>
            </w:r>
          </w:p>
          <w:p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filling of land of more than 500m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material with an average depth of 0.5m or greater where below the 5m Australian Height datum AHD.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following are excluded from the native vegetation clearing provisions of this planning scheme: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located within an approved development footprint;</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remove or reduce the risk vegetation poses to serious personal injury or damage to infrastructure;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for the purpose of maintenance or works within a registered easement for public infrastructure or drainage purposes;</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in accordance with a bushfire management plan prepared by a suitably qualified person, submitted to and accepted by Council;</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lastRenderedPageBreak/>
                    <w:t>Clearing of native vegetation associated with removal of recognised weed species, maintaining existing open pastures and cropping land, windbreaks, lawns or created gardens;</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Grazing of native pasture by stock;</w:t>
                  </w:r>
                </w:p>
                <w:p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Native forest practice where accepted development under Part 1, 1.7.7 Accepted development</w:t>
                  </w:r>
                </w:p>
              </w:tc>
            </w:tr>
            <w:tr w:rsidR="00D977B2" w:rsidRPr="00355238" w:rsidTr="00B61B28">
              <w:trPr>
                <w:tblCellSpacing w:w="15" w:type="dxa"/>
              </w:trPr>
              <w:tc>
                <w:tcPr>
                  <w:tcW w:w="14924" w:type="dxa"/>
                  <w:shd w:val="clear" w:color="auto" w:fill="CCCCCC"/>
                  <w:vAlign w:val="center"/>
                  <w:hideMark/>
                </w:tcPr>
                <w:p w:rsidR="00D977B2" w:rsidRPr="00132DB6" w:rsidRDefault="00D977B2" w:rsidP="00132DB6">
                  <w:pPr>
                    <w:pStyle w:val="NormalWeb"/>
                    <w:rPr>
                      <w:rFonts w:ascii="Arial" w:hAnsi="Arial" w:cs="Arial"/>
                      <w:sz w:val="20"/>
                      <w:szCs w:val="20"/>
                    </w:rPr>
                  </w:pPr>
                  <w:r w:rsidRPr="00355238">
                    <w:rPr>
                      <w:rFonts w:ascii="Arial" w:hAnsi="Arial" w:cs="Arial"/>
                      <w:sz w:val="20"/>
                      <w:szCs w:val="20"/>
                    </w:rPr>
                    <w:lastRenderedPageBreak/>
                    <w:t>Note - Definition for native vegetation is located in Schedule 1 Definitions.</w:t>
                  </w:r>
                </w:p>
                <w:p w:rsidR="00D977B2" w:rsidRPr="00132DB6" w:rsidRDefault="00D977B2" w:rsidP="00132DB6">
                  <w:pPr>
                    <w:pStyle w:val="NormalWeb"/>
                    <w:rPr>
                      <w:rFonts w:ascii="Arial" w:hAnsi="Arial" w:cs="Arial"/>
                      <w:sz w:val="20"/>
                      <w:szCs w:val="20"/>
                    </w:rPr>
                  </w:pPr>
                  <w:r w:rsidRPr="00355238">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D977B2" w:rsidRPr="00355238" w:rsidRDefault="00D977B2" w:rsidP="00E41BF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Vegetation clearing, ecological value and connectivity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w:t>
            </w:r>
            <w:r w:rsidRPr="00355238">
              <w:rPr>
                <w:rFonts w:ascii="Arial" w:eastAsia="Times New Roman" w:hAnsi="Arial" w:cs="Arial"/>
                <w:sz w:val="20"/>
                <w:szCs w:val="20"/>
              </w:rPr>
              <w:lastRenderedPageBreak/>
              <w:t>proposed covenant,  the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 </w:t>
                  </w:r>
                  <w:r w:rsidRPr="00132DB6">
                    <w:rPr>
                      <w:rFonts w:ascii="Arial" w:eastAsia="Times New Roman" w:hAnsi="Arial" w:cs="Arial"/>
                      <w:sz w:val="18"/>
                      <w:szCs w:val="20"/>
                    </w:rPr>
                    <w:t>Editor's note - This is not a requirement for an environmental offset under the Environmental Offsets Act 2014.</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provides for safe, unimpeded, convenient and ongoing wildlife movement and establishes and maintains habitat connectivity by:</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retaining habitat trees;</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contiguous patches of habitat;</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replacement and rehabilitation planting to improve connectivity;</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habitat protection</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ensures that the biodiversity quality and integrity of habitats is not adversely impacted upon but maintained and protected.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rehabilitate, revegetate, restore and enhance an area to ensure it continues to function as a viable and healthy habitat area;</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replacement fauna nesting boxes in the event of habitat tree loss in accordance with Planning scheme policy - Environmental areas;</w:t>
            </w:r>
          </w:p>
          <w:p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undertake rehabilitation, revegetation and restoration in accordance with the South East Queensland Ecological Restoration Framework.</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safe, unimpeded, convenient and ongoing wildlife movement and habitat connectivity by:</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contiguous patches of habitat;</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p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providing replacement and rehabilitation planting to improve connectivity.</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soil resource stability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result in soil erosion or land degradation;</w:t>
            </w:r>
          </w:p>
          <w:p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leave cleared land exposed for an unreasonable period of time but is rehabilitated in a timely manner.</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water quality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maintains or improves the quality of groundwater and surface water within, and downstream, of a site by:</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ensuring an effective vegetated buffers and setbacks from waterbodies is retained to achieve natural filtration and reduce sediment loads;</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or minimising changes to landforms to maintain hydrological water flows;</w:t>
            </w:r>
          </w:p>
          <w:p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adopting suitable measures to exclude livestock from entering a waterbody where a site is being used for animal husbandry</w:t>
            </w:r>
            <w:r w:rsidRPr="00355238">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355238">
                <w:rPr>
                  <w:rStyle w:val="Hyperlink"/>
                  <w:rFonts w:ascii="Arial" w:eastAsia="Times New Roman" w:hAnsi="Arial" w:cs="Arial"/>
                  <w:sz w:val="20"/>
                  <w:szCs w:val="20"/>
                  <w:vertAlign w:val="superscript"/>
                </w:rPr>
                <w:t>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and animal keeping</w:t>
            </w:r>
            <w:r w:rsidRPr="00355238">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355238">
                <w:rPr>
                  <w:rStyle w:val="Hyperlink"/>
                  <w:rFonts w:ascii="Arial" w:eastAsia="Times New Roman" w:hAnsi="Arial" w:cs="Arial"/>
                  <w:sz w:val="20"/>
                  <w:szCs w:val="20"/>
                  <w:vertAlign w:val="superscript"/>
                </w:rPr>
                <w:t>5</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activities.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minimises adverse impacts of stormwater run-off on water quality by:</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flow velocity to reduce erosion;</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hard surface areas;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maximising the use of permeable surfaces;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incorporating sediment retention devices;</w:t>
            </w:r>
          </w:p>
          <w:p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channelled flow.</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access, edge effects and urban heat island effects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minimises potential adverse ‘edge effects’ on ecological values by:</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dense planting buffers of native vegetation between a development and environmental areas;</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retaining patches of native vegetation of greatest possible size where located between a development and environmental areas ;</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restoring, rehabilitating and increasing the size of existing patches of native vegetation;</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ensuring that buildings and access (public and vehicle) are setback as </w:t>
            </w:r>
            <w:r w:rsidRPr="00355238">
              <w:rPr>
                <w:rFonts w:ascii="Arial" w:eastAsia="Times New Roman" w:hAnsi="Arial" w:cs="Arial"/>
                <w:sz w:val="20"/>
                <w:szCs w:val="20"/>
              </w:rPr>
              <w:lastRenderedPageBreak/>
              <w:t>far as possible from environmental areas and corridors;</w:t>
            </w:r>
          </w:p>
          <w:p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shd w:val="clear" w:color="auto" w:fill="FFFFFF"/>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adverse microclimate change and does not result in increased urban heat island effects.  Adverse urban heat island effects are minimised by:</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pervious surfaces;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deeply planted vegetation buffers and green linkage opportunities;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local native plant species to achieve well-shaded urban places;</w:t>
            </w:r>
          </w:p>
          <w:p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increasing the service extent of the urban forest canopy.</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Matters of Local Environmental Significance (MLES) environmental offsets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Where development results in the unavoidable loss of native vegetation within a Value Offset Area MLES waterway buffer or a Value Offset Area MLES wetland buffer, an environmental offset is required in accordance with the environmental offset </w:t>
            </w:r>
            <w:r w:rsidRPr="00355238">
              <w:rPr>
                <w:rFonts w:ascii="Arial" w:hAnsi="Arial" w:cs="Arial"/>
                <w:sz w:val="20"/>
                <w:szCs w:val="20"/>
              </w:rPr>
              <w:lastRenderedPageBreak/>
              <w:t>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Editor's note - For MSES Koala Offsets, the environmental offset provisions in Schedule 11 of the Regulation, in combination with the requirements of the Environmental Offsets Act 2014, apply.</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shd w:val="clear" w:color="auto" w:fill="CCCCCC"/>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will:</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diminish or cause irreversible damage to the cultural heritage values present on the site, and associated with a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 the fabric and setting of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be consistent with the form, scale and style of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utilise similar materials to those existing, or where this is not reasonable or practicable, neutral materials and finishes;</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incorporate complementary elements, detailing and ornamentation to those present on the heritage site, object or building;</w:t>
            </w:r>
          </w:p>
          <w:p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 public access where this is currently provided.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E72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Demolition and removal is only considered where:</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confined to the removal of outbuildings, extensions and alterations that are not part of the original structure;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limited demolition is performed in the course of repairs, maintenance or restoration; or</w:t>
            </w:r>
          </w:p>
          <w:p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performed following a catastrophic event which substantially destroys the building or object.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E75</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result in the removal of a significant tree;</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occur within 20m of a protected tree;</w:t>
            </w:r>
          </w:p>
          <w:p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involve pruning of a tree in accordance with Australian Standard AS 4373-2007 – Pruning of Amenity Trees.</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D977B2" w:rsidRPr="00355238" w:rsidRDefault="00D977B2"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PO76</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w:t>
            </w:r>
          </w:p>
          <w:p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minimises the risk to persons from overland flow;</w:t>
            </w:r>
          </w:p>
          <w:p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does not increase the potential for damage from overland flow either on the premises or other premises, </w:t>
            </w:r>
            <w:r w:rsidRPr="00355238">
              <w:rPr>
                <w:rFonts w:ascii="Arial" w:eastAsia="Times New Roman" w:hAnsi="Arial" w:cs="Arial"/>
                <w:sz w:val="20"/>
                <w:szCs w:val="20"/>
              </w:rPr>
              <w:lastRenderedPageBreak/>
              <w:t>public land, watercourses, roads or infrastructure.</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PO77</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w:t>
            </w:r>
          </w:p>
          <w:p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Note - Reporting to be prepared in accordance with Planning scheme policy – </w:t>
                  </w:r>
                  <w:r w:rsidRPr="00132DB6">
                    <w:rPr>
                      <w:rFonts w:ascii="Arial" w:eastAsia="Times New Roman" w:hAnsi="Arial" w:cs="Arial"/>
                      <w:sz w:val="18"/>
                      <w:szCs w:val="20"/>
                    </w:rPr>
                    <w:t>Flood hazard, Coastal hazard and Overland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PO78</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directly, indirectly or cumulatively cause any increase in overland flow velocity or level;</w:t>
            </w:r>
          </w:p>
          <w:p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increase the potential for flood damage from overland flow either on the premises or other premises, </w:t>
            </w:r>
            <w:r w:rsidRPr="00355238">
              <w:rPr>
                <w:rFonts w:ascii="Arial" w:eastAsia="Times New Roman" w:hAnsi="Arial" w:cs="Arial"/>
                <w:sz w:val="20"/>
                <w:szCs w:val="20"/>
              </w:rPr>
              <w:lastRenderedPageBreak/>
              <w:t>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Note - Open concrete drains greater than 1m in width are not an acceptable outcome, nor are any other design options that may increase scouring.</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E79</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ensures that overland flow is not conveyed from a road or public open space onto a private lot.</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E80</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55238" w:rsidRPr="00355238" w:rsidTr="00B61B28">
              <w:trPr>
                <w:tblCellSpacing w:w="15" w:type="dxa"/>
              </w:trPr>
              <w:tc>
                <w:tcPr>
                  <w:tcW w:w="4205" w:type="dxa"/>
                  <w:vAlign w:val="center"/>
                  <w:hideMark/>
                </w:tcPr>
                <w:p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lastRenderedPageBreak/>
                    <w:t>Note - Reporting to be prepared in accordance with Planning scheme policy – Flood hazard, Coastal hazard and Overland flow</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E81.1</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roof and allotment drainage infrastructure is provided in accordance with the following relevant level as identified in QUDM:</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Urban area – Level III;</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Rural area – N/A;</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Industrial area – Level V;</w:t>
            </w:r>
          </w:p>
          <w:p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Commercial area – Level V.</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E81.2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ensures that inter-allotment drainage infrastructure is designed to accommodate any event up to and including the 1% AEP for the fully developed upstream catchment.</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PO82</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protects the conveyance of overland flow such that an easement for drainage purposes is provided over:</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 stormwater pipe if the nominal pipe diameter exceeds 300mm;</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an overland flow path where it crosses more than one premises;</w:t>
            </w:r>
          </w:p>
          <w:p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rsidTr="00B61B28">
              <w:trPr>
                <w:tblCellSpacing w:w="15" w:type="dxa"/>
              </w:trPr>
              <w:tc>
                <w:tcPr>
                  <w:tcW w:w="4205"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Refer to Planning scheme policy - Integrated design for details and examples.</w:t>
                  </w:r>
                </w:p>
              </w:tc>
            </w:tr>
            <w:tr w:rsidR="00355238" w:rsidRPr="00355238" w:rsidTr="00B61B28">
              <w:trPr>
                <w:tblCellSpacing w:w="15" w:type="dxa"/>
              </w:trPr>
              <w:tc>
                <w:tcPr>
                  <w:tcW w:w="4205" w:type="dxa"/>
                  <w:vAlign w:val="center"/>
                  <w:hideMark/>
                </w:tcPr>
                <w:p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Stormwater Drainage easement dimensions are provided in accordance with Section 3.8.5 of QUDM.</w:t>
                  </w:r>
                </w:p>
              </w:tc>
            </w:tr>
          </w:tbl>
          <w:p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Additional criteria for development for a Park</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that the design and layout responds to the nature of the overland flow affecting the premises such that:</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public benefit and enjoyment is maximised;</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impacts on the asset life and integrity of park structures is minimised;</w:t>
            </w:r>
          </w:p>
          <w:p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maintenance and replacement costs are minimised.</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E83</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works are provided in accordance with the requirements set out in Appendix B of the Planning scheme policy - Integrated design.</w:t>
            </w: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Riparian and wetland setbacks</w:t>
            </w:r>
          </w:p>
        </w:tc>
        <w:tc>
          <w:tcPr>
            <w:tcW w:w="558"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PO84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fauna habitats;</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wildlife corridors and connectivity;</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stream integrity;</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of opportunities for revegetation and rehabilitation planting;</w:t>
            </w:r>
          </w:p>
          <w:p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edge effects.</w:t>
            </w:r>
          </w:p>
        </w:tc>
        <w:tc>
          <w:tcPr>
            <w:tcW w:w="1919" w:type="pct"/>
            <w:tcBorders>
              <w:top w:val="outset" w:sz="6" w:space="0" w:color="auto"/>
              <w:left w:val="outset" w:sz="6" w:space="0" w:color="auto"/>
              <w:bottom w:val="outset" w:sz="6" w:space="0" w:color="auto"/>
              <w:right w:val="outset" w:sz="6" w:space="0" w:color="auto"/>
            </w:tcBorders>
            <w:hideMark/>
          </w:tcPr>
          <w:p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E84</w:t>
            </w:r>
          </w:p>
          <w:p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occur within:</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50m from top of bank for W1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30m from top of bank for W2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20m from top of bank for W3 waterway and drainage line</w:t>
            </w:r>
          </w:p>
          <w:p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rsidTr="00B61B28">
              <w:trPr>
                <w:tblCellSpacing w:w="15" w:type="dxa"/>
              </w:trPr>
              <w:tc>
                <w:tcPr>
                  <w:tcW w:w="10539" w:type="dxa"/>
                  <w:vAlign w:val="center"/>
                  <w:hideMark/>
                </w:tcPr>
                <w:p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W1, W2 and W3 waterway and drainage lines, and wetlands are mapped on Schedule 2, Section 2.5 Overlay Maps – Riparian and wetland setbacks.</w:t>
                  </w:r>
                </w:p>
              </w:tc>
            </w:tr>
          </w:tbl>
          <w:p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rsidR="00355238" w:rsidRPr="00355238" w:rsidRDefault="00355238" w:rsidP="00E41BF3">
            <w:pPr>
              <w:pStyle w:val="NormalWeb"/>
              <w:rPr>
                <w:rStyle w:val="Strong"/>
                <w:rFonts w:ascii="Arial" w:hAnsi="Arial" w:cs="Arial"/>
                <w:sz w:val="20"/>
                <w:szCs w:val="20"/>
              </w:rPr>
            </w:pPr>
          </w:p>
        </w:tc>
      </w:tr>
      <w:tr w:rsidR="00D977B2" w:rsidRPr="00355238"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4"/>
            </w:tblGrid>
            <w:tr w:rsidR="00D977B2" w:rsidRPr="00355238" w:rsidTr="00B61B28">
              <w:trPr>
                <w:tblCellSpacing w:w="15" w:type="dxa"/>
              </w:trPr>
              <w:tc>
                <w:tcPr>
                  <w:tcW w:w="14924" w:type="dxa"/>
                  <w:vAlign w:val="center"/>
                  <w:hideMark/>
                </w:tcPr>
                <w:p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rsidR="00D977B2" w:rsidRPr="00355238" w:rsidRDefault="00D977B2" w:rsidP="00E41BF3">
            <w:pPr>
              <w:pStyle w:val="NormalWeb"/>
              <w:rPr>
                <w:rStyle w:val="Strong"/>
                <w:rFonts w:ascii="Arial" w:hAnsi="Arial" w:cs="Arial"/>
                <w:sz w:val="20"/>
                <w:szCs w:val="20"/>
              </w:rPr>
            </w:pPr>
          </w:p>
        </w:tc>
      </w:tr>
    </w:tbl>
    <w:p w:rsidR="00A33FFA" w:rsidRPr="00355238" w:rsidRDefault="00A33FFA" w:rsidP="00A33FFA">
      <w:pPr>
        <w:pStyle w:val="Heading4"/>
        <w:rPr>
          <w:rFonts w:ascii="Arial" w:eastAsia="Times New Roman" w:hAnsi="Arial" w:cs="Arial"/>
          <w:sz w:val="20"/>
          <w:szCs w:val="20"/>
        </w:rPr>
      </w:pPr>
    </w:p>
    <w:p w:rsidR="00E41BF3" w:rsidRPr="00355238" w:rsidRDefault="00E41BF3">
      <w:pPr>
        <w:rPr>
          <w:rFonts w:ascii="Arial" w:hAnsi="Arial" w:cs="Arial"/>
          <w:sz w:val="20"/>
          <w:szCs w:val="20"/>
        </w:rPr>
      </w:pPr>
    </w:p>
    <w:sectPr w:rsidR="00E41BF3" w:rsidRPr="00355238" w:rsidSect="00A33FFA">
      <w:headerReference w:type="even" r:id="rId48"/>
      <w:headerReference w:type="default" r:id="rId49"/>
      <w:footerReference w:type="even" r:id="rId50"/>
      <w:footerReference w:type="default" r:id="rId51"/>
      <w:headerReference w:type="first" r:id="rId52"/>
      <w:footerReference w:type="first" r:id="rId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59B" w:rsidRDefault="00F4559B" w:rsidP="0016190A">
      <w:r>
        <w:separator/>
      </w:r>
    </w:p>
  </w:endnote>
  <w:endnote w:type="continuationSeparator" w:id="0">
    <w:p w:rsidR="00F4559B" w:rsidRDefault="00F4559B" w:rsidP="0016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183573"/>
      <w:docPartObj>
        <w:docPartGallery w:val="Page Numbers (Bottom of Page)"/>
        <w:docPartUnique/>
      </w:docPartObj>
    </w:sdtPr>
    <w:sdtEndPr>
      <w:rPr>
        <w:rFonts w:asciiTheme="minorHAnsi" w:hAnsiTheme="minorHAnsi" w:cstheme="minorHAnsi"/>
        <w:noProof/>
        <w:sz w:val="22"/>
        <w:szCs w:val="22"/>
      </w:rPr>
    </w:sdtEndPr>
    <w:sdtContent>
      <w:p w:rsidR="00E41BF3" w:rsidRPr="0016190A" w:rsidRDefault="00E41BF3">
        <w:pPr>
          <w:pStyle w:val="Footer"/>
          <w:rPr>
            <w:rFonts w:asciiTheme="minorHAnsi" w:hAnsiTheme="minorHAnsi" w:cstheme="minorHAnsi"/>
            <w:sz w:val="22"/>
            <w:szCs w:val="22"/>
          </w:rPr>
        </w:pPr>
        <w:r w:rsidRPr="0016190A">
          <w:rPr>
            <w:rFonts w:asciiTheme="minorHAnsi" w:hAnsiTheme="minorHAnsi" w:cstheme="minorHAnsi"/>
            <w:i/>
            <w:sz w:val="22"/>
            <w:szCs w:val="22"/>
          </w:rPr>
          <w:t xml:space="preserve">MBRC Planning Scheme </w:t>
        </w:r>
        <w:r w:rsidR="00132DB6">
          <w:rPr>
            <w:rFonts w:asciiTheme="minorHAnsi" w:hAnsiTheme="minorHAnsi" w:cstheme="minorHAnsi"/>
            <w:i/>
            <w:sz w:val="22"/>
            <w:szCs w:val="22"/>
          </w:rPr>
          <w:t>V</w:t>
        </w:r>
        <w:r w:rsidR="00564BE0">
          <w:rPr>
            <w:rFonts w:asciiTheme="minorHAnsi" w:hAnsiTheme="minorHAnsi" w:cstheme="minorHAnsi"/>
            <w:i/>
            <w:sz w:val="22"/>
            <w:szCs w:val="22"/>
          </w:rPr>
          <w:t>5</w:t>
        </w:r>
        <w:bookmarkStart w:id="0" w:name="_GoBack"/>
        <w:bookmarkEnd w:id="0"/>
        <w:r w:rsidR="00132DB6">
          <w:rPr>
            <w:rFonts w:asciiTheme="minorHAnsi" w:hAnsiTheme="minorHAnsi" w:cstheme="minorHAnsi"/>
            <w:i/>
            <w:sz w:val="22"/>
            <w:szCs w:val="22"/>
          </w:rPr>
          <w:t xml:space="preserve"> </w:t>
        </w:r>
        <w:r w:rsidRPr="0016190A">
          <w:rPr>
            <w:rFonts w:asciiTheme="minorHAnsi" w:hAnsiTheme="minorHAnsi" w:cstheme="minorHAnsi"/>
            <w:i/>
            <w:sz w:val="22"/>
            <w:szCs w:val="22"/>
          </w:rPr>
          <w:t>- Redcliffe Kippa-Ring local plan - Open space and recreation precinct - Assessable</w:t>
        </w:r>
        <w:r w:rsidRPr="0016190A">
          <w:rPr>
            <w:rFonts w:asciiTheme="minorHAnsi" w:hAnsiTheme="minorHAnsi" w:cstheme="minorHAnsi"/>
            <w:i/>
            <w:sz w:val="22"/>
            <w:szCs w:val="22"/>
          </w:rPr>
          <w:tab/>
        </w:r>
        <w:r w:rsidRPr="0016190A">
          <w:rPr>
            <w:rFonts w:asciiTheme="minorHAnsi" w:hAnsiTheme="minorHAnsi" w:cstheme="minorHAnsi"/>
            <w:i/>
            <w:sz w:val="22"/>
            <w:szCs w:val="22"/>
          </w:rPr>
          <w:tab/>
        </w:r>
        <w:r w:rsidRPr="0016190A">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r w:rsidR="00032B9C">
          <w:rPr>
            <w:rFonts w:asciiTheme="minorHAnsi" w:hAnsiTheme="minorHAnsi" w:cstheme="minorHAnsi"/>
            <w:i/>
            <w:sz w:val="22"/>
            <w:szCs w:val="22"/>
          </w:rPr>
          <w:tab/>
        </w:r>
        <w:r w:rsidRPr="0016190A">
          <w:rPr>
            <w:rFonts w:asciiTheme="minorHAnsi" w:hAnsiTheme="minorHAnsi" w:cstheme="minorHAnsi"/>
            <w:i/>
            <w:sz w:val="22"/>
            <w:szCs w:val="22"/>
          </w:rPr>
          <w:tab/>
        </w:r>
        <w:r w:rsidRPr="0016190A">
          <w:rPr>
            <w:rFonts w:asciiTheme="minorHAnsi" w:hAnsiTheme="minorHAnsi" w:cstheme="minorHAnsi"/>
            <w:sz w:val="22"/>
            <w:szCs w:val="22"/>
          </w:rPr>
          <w:fldChar w:fldCharType="begin"/>
        </w:r>
        <w:r w:rsidRPr="0016190A">
          <w:rPr>
            <w:rFonts w:asciiTheme="minorHAnsi" w:hAnsiTheme="minorHAnsi" w:cstheme="minorHAnsi"/>
            <w:sz w:val="22"/>
            <w:szCs w:val="22"/>
          </w:rPr>
          <w:instrText xml:space="preserve"> PAGE   \* MERGEFORMAT </w:instrText>
        </w:r>
        <w:r w:rsidRPr="0016190A">
          <w:rPr>
            <w:rFonts w:asciiTheme="minorHAnsi" w:hAnsiTheme="minorHAnsi" w:cstheme="minorHAnsi"/>
            <w:sz w:val="22"/>
            <w:szCs w:val="22"/>
          </w:rPr>
          <w:fldChar w:fldCharType="separate"/>
        </w:r>
        <w:r w:rsidRPr="0016190A">
          <w:rPr>
            <w:rFonts w:asciiTheme="minorHAnsi" w:hAnsiTheme="minorHAnsi" w:cstheme="minorHAnsi"/>
            <w:sz w:val="22"/>
            <w:szCs w:val="22"/>
          </w:rPr>
          <w:t>1</w:t>
        </w:r>
        <w:r w:rsidRPr="0016190A">
          <w:rPr>
            <w:rFonts w:asciiTheme="minorHAnsi" w:hAnsiTheme="minorHAnsi" w:cstheme="minorHAnsi"/>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59B" w:rsidRDefault="00F4559B" w:rsidP="0016190A">
      <w:r>
        <w:separator/>
      </w:r>
    </w:p>
  </w:footnote>
  <w:footnote w:type="continuationSeparator" w:id="0">
    <w:p w:rsidR="00F4559B" w:rsidRDefault="00F4559B" w:rsidP="00161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B9C" w:rsidRDefault="00032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7FF"/>
    <w:multiLevelType w:val="multilevel"/>
    <w:tmpl w:val="E9261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8408A2"/>
    <w:multiLevelType w:val="multilevel"/>
    <w:tmpl w:val="9CD065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096AF5"/>
    <w:multiLevelType w:val="multilevel"/>
    <w:tmpl w:val="E87EC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147A80"/>
    <w:multiLevelType w:val="multilevel"/>
    <w:tmpl w:val="808CF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B9669B"/>
    <w:multiLevelType w:val="multilevel"/>
    <w:tmpl w:val="0BEE0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87B57"/>
    <w:multiLevelType w:val="multilevel"/>
    <w:tmpl w:val="1CB0E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CD4DE0"/>
    <w:multiLevelType w:val="multilevel"/>
    <w:tmpl w:val="9BAA5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D1A5EB1"/>
    <w:multiLevelType w:val="multilevel"/>
    <w:tmpl w:val="CD5A8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D3308B8"/>
    <w:multiLevelType w:val="multilevel"/>
    <w:tmpl w:val="4E8CC1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6934ED"/>
    <w:multiLevelType w:val="multilevel"/>
    <w:tmpl w:val="57CC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EA862A7"/>
    <w:multiLevelType w:val="multilevel"/>
    <w:tmpl w:val="DA4AD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933D19"/>
    <w:multiLevelType w:val="multilevel"/>
    <w:tmpl w:val="4A400B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57092D"/>
    <w:multiLevelType w:val="multilevel"/>
    <w:tmpl w:val="58423F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0A4C79"/>
    <w:multiLevelType w:val="multilevel"/>
    <w:tmpl w:val="22D25B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8954AD"/>
    <w:multiLevelType w:val="multilevel"/>
    <w:tmpl w:val="4C027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3F6048C"/>
    <w:multiLevelType w:val="multilevel"/>
    <w:tmpl w:val="2B56E8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3F84261"/>
    <w:multiLevelType w:val="multilevel"/>
    <w:tmpl w:val="71B21A2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44F3F89"/>
    <w:multiLevelType w:val="multilevel"/>
    <w:tmpl w:val="4FBE9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97048C"/>
    <w:multiLevelType w:val="multilevel"/>
    <w:tmpl w:val="29C2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C26EF7"/>
    <w:multiLevelType w:val="multilevel"/>
    <w:tmpl w:val="6FA0B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6A6B5E"/>
    <w:multiLevelType w:val="multilevel"/>
    <w:tmpl w:val="6CDA5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C90267"/>
    <w:multiLevelType w:val="multilevel"/>
    <w:tmpl w:val="C4104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11A12D6"/>
    <w:multiLevelType w:val="multilevel"/>
    <w:tmpl w:val="88D24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5560FB"/>
    <w:multiLevelType w:val="multilevel"/>
    <w:tmpl w:val="6F7E9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E820FB"/>
    <w:multiLevelType w:val="multilevel"/>
    <w:tmpl w:val="00A2C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D246795"/>
    <w:multiLevelType w:val="multilevel"/>
    <w:tmpl w:val="1CECF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4107F7"/>
    <w:multiLevelType w:val="multilevel"/>
    <w:tmpl w:val="5D0AA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F546549"/>
    <w:multiLevelType w:val="multilevel"/>
    <w:tmpl w:val="B86C7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D04028"/>
    <w:multiLevelType w:val="multilevel"/>
    <w:tmpl w:val="227A05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805E9F"/>
    <w:multiLevelType w:val="multilevel"/>
    <w:tmpl w:val="A2D2CF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4FE244C"/>
    <w:multiLevelType w:val="multilevel"/>
    <w:tmpl w:val="75F22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011323"/>
    <w:multiLevelType w:val="multilevel"/>
    <w:tmpl w:val="BD40BC0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C780640"/>
    <w:multiLevelType w:val="multilevel"/>
    <w:tmpl w:val="D8523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9E1DB5"/>
    <w:multiLevelType w:val="multilevel"/>
    <w:tmpl w:val="CB2003B8"/>
    <w:lvl w:ilvl="0">
      <w:start w:val="1"/>
      <w:numFmt w:val="lowerLetter"/>
      <w:lvlText w:val="%1."/>
      <w:lvlJc w:val="left"/>
      <w:pPr>
        <w:tabs>
          <w:tab w:val="num" w:pos="-300"/>
        </w:tabs>
        <w:ind w:left="-300" w:hanging="360"/>
      </w:pPr>
    </w:lvl>
    <w:lvl w:ilvl="1" w:tentative="1">
      <w:start w:val="1"/>
      <w:numFmt w:val="lowerLetter"/>
      <w:lvlText w:val="%2."/>
      <w:lvlJc w:val="left"/>
      <w:pPr>
        <w:tabs>
          <w:tab w:val="num" w:pos="420"/>
        </w:tabs>
        <w:ind w:left="420" w:hanging="360"/>
      </w:pPr>
    </w:lvl>
    <w:lvl w:ilvl="2" w:tentative="1">
      <w:start w:val="1"/>
      <w:numFmt w:val="lowerLetter"/>
      <w:lvlText w:val="%3."/>
      <w:lvlJc w:val="left"/>
      <w:pPr>
        <w:tabs>
          <w:tab w:val="num" w:pos="1140"/>
        </w:tabs>
        <w:ind w:left="1140" w:hanging="360"/>
      </w:pPr>
    </w:lvl>
    <w:lvl w:ilvl="3" w:tentative="1">
      <w:start w:val="1"/>
      <w:numFmt w:val="lowerLetter"/>
      <w:lvlText w:val="%4."/>
      <w:lvlJc w:val="left"/>
      <w:pPr>
        <w:tabs>
          <w:tab w:val="num" w:pos="1860"/>
        </w:tabs>
        <w:ind w:left="1860" w:hanging="360"/>
      </w:pPr>
    </w:lvl>
    <w:lvl w:ilvl="4" w:tentative="1">
      <w:start w:val="1"/>
      <w:numFmt w:val="lowerLetter"/>
      <w:lvlText w:val="%5."/>
      <w:lvlJc w:val="left"/>
      <w:pPr>
        <w:tabs>
          <w:tab w:val="num" w:pos="2580"/>
        </w:tabs>
        <w:ind w:left="2580" w:hanging="360"/>
      </w:pPr>
    </w:lvl>
    <w:lvl w:ilvl="5" w:tentative="1">
      <w:start w:val="1"/>
      <w:numFmt w:val="lowerLetter"/>
      <w:lvlText w:val="%6."/>
      <w:lvlJc w:val="left"/>
      <w:pPr>
        <w:tabs>
          <w:tab w:val="num" w:pos="3300"/>
        </w:tabs>
        <w:ind w:left="3300" w:hanging="360"/>
      </w:pPr>
    </w:lvl>
    <w:lvl w:ilvl="6" w:tentative="1">
      <w:start w:val="1"/>
      <w:numFmt w:val="lowerLetter"/>
      <w:lvlText w:val="%7."/>
      <w:lvlJc w:val="left"/>
      <w:pPr>
        <w:tabs>
          <w:tab w:val="num" w:pos="4020"/>
        </w:tabs>
        <w:ind w:left="4020" w:hanging="360"/>
      </w:pPr>
    </w:lvl>
    <w:lvl w:ilvl="7" w:tentative="1">
      <w:start w:val="1"/>
      <w:numFmt w:val="lowerLetter"/>
      <w:lvlText w:val="%8."/>
      <w:lvlJc w:val="left"/>
      <w:pPr>
        <w:tabs>
          <w:tab w:val="num" w:pos="4740"/>
        </w:tabs>
        <w:ind w:left="4740" w:hanging="360"/>
      </w:pPr>
    </w:lvl>
    <w:lvl w:ilvl="8" w:tentative="1">
      <w:start w:val="1"/>
      <w:numFmt w:val="lowerLetter"/>
      <w:lvlText w:val="%9."/>
      <w:lvlJc w:val="left"/>
      <w:pPr>
        <w:tabs>
          <w:tab w:val="num" w:pos="5460"/>
        </w:tabs>
        <w:ind w:left="5460" w:hanging="360"/>
      </w:pPr>
    </w:lvl>
  </w:abstractNum>
  <w:abstractNum w:abstractNumId="35" w15:restartNumberingAfterBreak="0">
    <w:nsid w:val="4530046B"/>
    <w:multiLevelType w:val="multilevel"/>
    <w:tmpl w:val="5372A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56E5765"/>
    <w:multiLevelType w:val="multilevel"/>
    <w:tmpl w:val="EA52FF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8E7425"/>
    <w:multiLevelType w:val="multilevel"/>
    <w:tmpl w:val="FA78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BA1546"/>
    <w:multiLevelType w:val="multilevel"/>
    <w:tmpl w:val="8012B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9DD5F71"/>
    <w:multiLevelType w:val="multilevel"/>
    <w:tmpl w:val="761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E310BF"/>
    <w:multiLevelType w:val="multilevel"/>
    <w:tmpl w:val="2040A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F025000"/>
    <w:multiLevelType w:val="multilevel"/>
    <w:tmpl w:val="A676A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F4B25C9"/>
    <w:multiLevelType w:val="multilevel"/>
    <w:tmpl w:val="81284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715768"/>
    <w:multiLevelType w:val="multilevel"/>
    <w:tmpl w:val="EA4AE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FAB1ACA"/>
    <w:multiLevelType w:val="multilevel"/>
    <w:tmpl w:val="C17A1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C1142B"/>
    <w:multiLevelType w:val="multilevel"/>
    <w:tmpl w:val="B5180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FF56C0"/>
    <w:multiLevelType w:val="multilevel"/>
    <w:tmpl w:val="7876DC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537579E"/>
    <w:multiLevelType w:val="multilevel"/>
    <w:tmpl w:val="23AE1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601322C"/>
    <w:multiLevelType w:val="multilevel"/>
    <w:tmpl w:val="1D86F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ADB5AD5"/>
    <w:multiLevelType w:val="multilevel"/>
    <w:tmpl w:val="F084B9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AF353F8"/>
    <w:multiLevelType w:val="multilevel"/>
    <w:tmpl w:val="398AF3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B61622E"/>
    <w:multiLevelType w:val="multilevel"/>
    <w:tmpl w:val="7B2828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EE66829"/>
    <w:multiLevelType w:val="multilevel"/>
    <w:tmpl w:val="7B68D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FD7600"/>
    <w:multiLevelType w:val="multilevel"/>
    <w:tmpl w:val="835E1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3417B19"/>
    <w:multiLevelType w:val="multilevel"/>
    <w:tmpl w:val="7E0AB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73D6EE3"/>
    <w:multiLevelType w:val="multilevel"/>
    <w:tmpl w:val="77B61A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A806DE0"/>
    <w:multiLevelType w:val="multilevel"/>
    <w:tmpl w:val="D9844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A95188B"/>
    <w:multiLevelType w:val="multilevel"/>
    <w:tmpl w:val="80E07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0315944"/>
    <w:multiLevelType w:val="multilevel"/>
    <w:tmpl w:val="ACDC1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05B15E4"/>
    <w:multiLevelType w:val="multilevel"/>
    <w:tmpl w:val="E2C2E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1273C99"/>
    <w:multiLevelType w:val="multilevel"/>
    <w:tmpl w:val="E5602D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29873DA"/>
    <w:multiLevelType w:val="multilevel"/>
    <w:tmpl w:val="85129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2D828F6"/>
    <w:multiLevelType w:val="multilevel"/>
    <w:tmpl w:val="558657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3635E40"/>
    <w:multiLevelType w:val="multilevel"/>
    <w:tmpl w:val="FA649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AB1B53"/>
    <w:multiLevelType w:val="multilevel"/>
    <w:tmpl w:val="E3DE60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6112AD0"/>
    <w:multiLevelType w:val="multilevel"/>
    <w:tmpl w:val="419EC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2F627A"/>
    <w:multiLevelType w:val="multilevel"/>
    <w:tmpl w:val="44364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6F74FD"/>
    <w:multiLevelType w:val="multilevel"/>
    <w:tmpl w:val="BD8C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B1D69AC"/>
    <w:multiLevelType w:val="multilevel"/>
    <w:tmpl w:val="82929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905E2"/>
    <w:multiLevelType w:val="multilevel"/>
    <w:tmpl w:val="E3387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391E72"/>
    <w:multiLevelType w:val="multilevel"/>
    <w:tmpl w:val="4D7AB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F1B7C88"/>
    <w:multiLevelType w:val="multilevel"/>
    <w:tmpl w:val="639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4"/>
  </w:num>
  <w:num w:numId="4">
    <w:abstractNumId w:val="55"/>
  </w:num>
  <w:num w:numId="5">
    <w:abstractNumId w:val="22"/>
  </w:num>
  <w:num w:numId="6">
    <w:abstractNumId w:val="68"/>
  </w:num>
  <w:num w:numId="7">
    <w:abstractNumId w:val="49"/>
  </w:num>
  <w:num w:numId="8">
    <w:abstractNumId w:val="31"/>
  </w:num>
  <w:num w:numId="9">
    <w:abstractNumId w:val="24"/>
  </w:num>
  <w:num w:numId="10">
    <w:abstractNumId w:val="71"/>
  </w:num>
  <w:num w:numId="11">
    <w:abstractNumId w:val="0"/>
  </w:num>
  <w:num w:numId="12">
    <w:abstractNumId w:val="39"/>
  </w:num>
  <w:num w:numId="13">
    <w:abstractNumId w:val="32"/>
  </w:num>
  <w:num w:numId="14">
    <w:abstractNumId w:val="51"/>
  </w:num>
  <w:num w:numId="15">
    <w:abstractNumId w:val="35"/>
  </w:num>
  <w:num w:numId="16">
    <w:abstractNumId w:val="34"/>
  </w:num>
  <w:num w:numId="17">
    <w:abstractNumId w:val="25"/>
  </w:num>
  <w:num w:numId="18">
    <w:abstractNumId w:val="26"/>
  </w:num>
  <w:num w:numId="19">
    <w:abstractNumId w:val="17"/>
  </w:num>
  <w:num w:numId="20">
    <w:abstractNumId w:val="40"/>
  </w:num>
  <w:num w:numId="21">
    <w:abstractNumId w:val="6"/>
  </w:num>
  <w:num w:numId="22">
    <w:abstractNumId w:val="65"/>
  </w:num>
  <w:num w:numId="23">
    <w:abstractNumId w:val="54"/>
  </w:num>
  <w:num w:numId="24">
    <w:abstractNumId w:val="45"/>
  </w:num>
  <w:num w:numId="25">
    <w:abstractNumId w:val="52"/>
  </w:num>
  <w:num w:numId="26">
    <w:abstractNumId w:val="29"/>
  </w:num>
  <w:num w:numId="27">
    <w:abstractNumId w:val="63"/>
  </w:num>
  <w:num w:numId="28">
    <w:abstractNumId w:val="37"/>
  </w:num>
  <w:num w:numId="29">
    <w:abstractNumId w:val="13"/>
  </w:num>
  <w:num w:numId="30">
    <w:abstractNumId w:val="16"/>
  </w:num>
  <w:num w:numId="31">
    <w:abstractNumId w:val="5"/>
  </w:num>
  <w:num w:numId="32">
    <w:abstractNumId w:val="62"/>
  </w:num>
  <w:num w:numId="33">
    <w:abstractNumId w:val="69"/>
  </w:num>
  <w:num w:numId="34">
    <w:abstractNumId w:val="15"/>
  </w:num>
  <w:num w:numId="35">
    <w:abstractNumId w:val="67"/>
  </w:num>
  <w:num w:numId="36">
    <w:abstractNumId w:val="3"/>
  </w:num>
  <w:num w:numId="37">
    <w:abstractNumId w:val="28"/>
  </w:num>
  <w:num w:numId="38">
    <w:abstractNumId w:val="7"/>
  </w:num>
  <w:num w:numId="39">
    <w:abstractNumId w:val="19"/>
  </w:num>
  <w:num w:numId="40">
    <w:abstractNumId w:val="46"/>
  </w:num>
  <w:num w:numId="41">
    <w:abstractNumId w:val="47"/>
  </w:num>
  <w:num w:numId="42">
    <w:abstractNumId w:val="43"/>
  </w:num>
  <w:num w:numId="43">
    <w:abstractNumId w:val="8"/>
  </w:num>
  <w:num w:numId="44">
    <w:abstractNumId w:val="1"/>
  </w:num>
  <w:num w:numId="45">
    <w:abstractNumId w:val="11"/>
  </w:num>
  <w:num w:numId="46">
    <w:abstractNumId w:val="50"/>
  </w:num>
  <w:num w:numId="47">
    <w:abstractNumId w:val="50"/>
    <w:lvlOverride w:ilvl="1">
      <w:startOverride w:val="2"/>
    </w:lvlOverride>
  </w:num>
  <w:num w:numId="48">
    <w:abstractNumId w:val="58"/>
  </w:num>
  <w:num w:numId="49">
    <w:abstractNumId w:val="27"/>
  </w:num>
  <w:num w:numId="50">
    <w:abstractNumId w:val="53"/>
  </w:num>
  <w:num w:numId="51">
    <w:abstractNumId w:val="33"/>
  </w:num>
  <w:num w:numId="52">
    <w:abstractNumId w:val="59"/>
  </w:num>
  <w:num w:numId="53">
    <w:abstractNumId w:val="44"/>
  </w:num>
  <w:num w:numId="54">
    <w:abstractNumId w:val="10"/>
  </w:num>
  <w:num w:numId="55">
    <w:abstractNumId w:val="56"/>
  </w:num>
  <w:num w:numId="56">
    <w:abstractNumId w:val="36"/>
  </w:num>
  <w:num w:numId="57">
    <w:abstractNumId w:val="30"/>
  </w:num>
  <w:num w:numId="58">
    <w:abstractNumId w:val="38"/>
  </w:num>
  <w:num w:numId="59">
    <w:abstractNumId w:val="9"/>
  </w:num>
  <w:num w:numId="60">
    <w:abstractNumId w:val="64"/>
  </w:num>
  <w:num w:numId="61">
    <w:abstractNumId w:val="66"/>
  </w:num>
  <w:num w:numId="62">
    <w:abstractNumId w:val="14"/>
  </w:num>
  <w:num w:numId="63">
    <w:abstractNumId w:val="20"/>
  </w:num>
  <w:num w:numId="64">
    <w:abstractNumId w:val="42"/>
  </w:num>
  <w:num w:numId="65">
    <w:abstractNumId w:val="21"/>
  </w:num>
  <w:num w:numId="66">
    <w:abstractNumId w:val="2"/>
  </w:num>
  <w:num w:numId="67">
    <w:abstractNumId w:val="70"/>
  </w:num>
  <w:num w:numId="68">
    <w:abstractNumId w:val="57"/>
  </w:num>
  <w:num w:numId="69">
    <w:abstractNumId w:val="41"/>
  </w:num>
  <w:num w:numId="70">
    <w:abstractNumId w:val="61"/>
  </w:num>
  <w:num w:numId="71">
    <w:abstractNumId w:val="60"/>
  </w:num>
  <w:num w:numId="72">
    <w:abstractNumId w:val="48"/>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FA"/>
    <w:rsid w:val="00032B9C"/>
    <w:rsid w:val="00132DB6"/>
    <w:rsid w:val="0016190A"/>
    <w:rsid w:val="00226148"/>
    <w:rsid w:val="0028069A"/>
    <w:rsid w:val="00355238"/>
    <w:rsid w:val="004A2EDA"/>
    <w:rsid w:val="00564BE0"/>
    <w:rsid w:val="006F18C7"/>
    <w:rsid w:val="00A33FFA"/>
    <w:rsid w:val="00B06B0C"/>
    <w:rsid w:val="00B61B28"/>
    <w:rsid w:val="00C72F83"/>
    <w:rsid w:val="00C772DA"/>
    <w:rsid w:val="00C96BC9"/>
    <w:rsid w:val="00D977B2"/>
    <w:rsid w:val="00DD33C8"/>
    <w:rsid w:val="00E41BF3"/>
    <w:rsid w:val="00F4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2470F"/>
  <w15:chartTrackingRefBased/>
  <w15:docId w15:val="{6160BEA2-384F-4D47-9C72-AE2BE2F2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FFA"/>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33FF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33F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33FFA"/>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33FFA"/>
    <w:pPr>
      <w:spacing w:before="100" w:beforeAutospacing="1" w:after="100" w:afterAutospacing="1"/>
      <w:outlineLvl w:val="3"/>
    </w:pPr>
    <w:rPr>
      <w:b/>
      <w:bCs/>
    </w:rPr>
  </w:style>
  <w:style w:type="paragraph" w:styleId="Heading5">
    <w:name w:val="heading 5"/>
    <w:basedOn w:val="Normal"/>
    <w:link w:val="Heading5Char"/>
    <w:uiPriority w:val="9"/>
    <w:qFormat/>
    <w:rsid w:val="00A33FFA"/>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33FF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FA"/>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33FFA"/>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33FFA"/>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33FFA"/>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33FFA"/>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33FFA"/>
    <w:rPr>
      <w:rFonts w:ascii="Times New Roman" w:eastAsiaTheme="minorEastAsia" w:hAnsi="Times New Roman" w:cs="Times New Roman"/>
      <w:b/>
      <w:bCs/>
      <w:sz w:val="15"/>
      <w:szCs w:val="15"/>
      <w:lang w:eastAsia="en-AU"/>
    </w:rPr>
  </w:style>
  <w:style w:type="paragraph" w:customStyle="1" w:styleId="msonormal0">
    <w:name w:val="msonormal"/>
    <w:basedOn w:val="Normal"/>
    <w:rsid w:val="00A33FFA"/>
    <w:pPr>
      <w:spacing w:before="100" w:beforeAutospacing="1" w:after="100" w:afterAutospacing="1"/>
    </w:pPr>
  </w:style>
  <w:style w:type="character" w:styleId="Hyperlink">
    <w:name w:val="Hyperlink"/>
    <w:basedOn w:val="DefaultParagraphFont"/>
    <w:uiPriority w:val="99"/>
    <w:semiHidden/>
    <w:unhideWhenUsed/>
    <w:rsid w:val="00A33FFA"/>
    <w:rPr>
      <w:color w:val="0000FF"/>
      <w:u w:val="single"/>
    </w:rPr>
  </w:style>
  <w:style w:type="character" w:styleId="FollowedHyperlink">
    <w:name w:val="FollowedHyperlink"/>
    <w:basedOn w:val="DefaultParagraphFont"/>
    <w:uiPriority w:val="99"/>
    <w:semiHidden/>
    <w:unhideWhenUsed/>
    <w:rsid w:val="00A33FFA"/>
    <w:rPr>
      <w:color w:val="800080"/>
      <w:u w:val="single"/>
    </w:rPr>
  </w:style>
  <w:style w:type="paragraph" w:customStyle="1" w:styleId="hidden">
    <w:name w:val="hidden"/>
    <w:basedOn w:val="Normal"/>
    <w:rsid w:val="00A33FFA"/>
    <w:pPr>
      <w:spacing w:before="100" w:beforeAutospacing="1" w:after="100" w:afterAutospacing="1"/>
    </w:pPr>
  </w:style>
  <w:style w:type="paragraph" w:styleId="NormalWeb">
    <w:name w:val="Normal (Web)"/>
    <w:basedOn w:val="Normal"/>
    <w:uiPriority w:val="99"/>
    <w:unhideWhenUsed/>
    <w:rsid w:val="00A33FFA"/>
    <w:pPr>
      <w:spacing w:before="100" w:beforeAutospacing="1" w:after="100" w:afterAutospacing="1"/>
    </w:pPr>
  </w:style>
  <w:style w:type="character" w:styleId="Strong">
    <w:name w:val="Strong"/>
    <w:basedOn w:val="DefaultParagraphFont"/>
    <w:uiPriority w:val="22"/>
    <w:qFormat/>
    <w:rsid w:val="00A33FFA"/>
    <w:rPr>
      <w:b/>
      <w:bCs/>
    </w:rPr>
  </w:style>
  <w:style w:type="character" w:customStyle="1" w:styleId="number">
    <w:name w:val="number"/>
    <w:basedOn w:val="DefaultParagraphFont"/>
    <w:rsid w:val="00A33FFA"/>
  </w:style>
  <w:style w:type="character" w:customStyle="1" w:styleId="newwindow">
    <w:name w:val="newwindow"/>
    <w:basedOn w:val="DefaultParagraphFont"/>
    <w:rsid w:val="00A33FFA"/>
  </w:style>
  <w:style w:type="character" w:styleId="Emphasis">
    <w:name w:val="Emphasis"/>
    <w:basedOn w:val="DefaultParagraphFont"/>
    <w:uiPriority w:val="20"/>
    <w:qFormat/>
    <w:rsid w:val="00A33FFA"/>
    <w:rPr>
      <w:i/>
      <w:iCs/>
    </w:rPr>
  </w:style>
  <w:style w:type="character" w:customStyle="1" w:styleId="highlighttext">
    <w:name w:val="highlighttext"/>
    <w:basedOn w:val="DefaultParagraphFont"/>
    <w:rsid w:val="00A33FFA"/>
  </w:style>
  <w:style w:type="character" w:customStyle="1" w:styleId="highlightbackground">
    <w:name w:val="highlightbackground"/>
    <w:basedOn w:val="DefaultParagraphFont"/>
    <w:rsid w:val="00A33FFA"/>
  </w:style>
  <w:style w:type="paragraph" w:styleId="BalloonText">
    <w:name w:val="Balloon Text"/>
    <w:basedOn w:val="Normal"/>
    <w:link w:val="BalloonTextChar"/>
    <w:uiPriority w:val="99"/>
    <w:semiHidden/>
    <w:unhideWhenUsed/>
    <w:rsid w:val="00A33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FA"/>
    <w:rPr>
      <w:rFonts w:ascii="Segoe UI" w:eastAsiaTheme="minorEastAsia" w:hAnsi="Segoe UI" w:cs="Segoe UI"/>
      <w:sz w:val="18"/>
      <w:szCs w:val="18"/>
      <w:lang w:eastAsia="en-AU"/>
    </w:rPr>
  </w:style>
  <w:style w:type="paragraph" w:styleId="ListParagraph">
    <w:name w:val="List Paragraph"/>
    <w:basedOn w:val="Normal"/>
    <w:uiPriority w:val="34"/>
    <w:qFormat/>
    <w:rsid w:val="00355238"/>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16190A"/>
    <w:pPr>
      <w:tabs>
        <w:tab w:val="center" w:pos="4513"/>
        <w:tab w:val="right" w:pos="9026"/>
      </w:tabs>
    </w:pPr>
  </w:style>
  <w:style w:type="character" w:customStyle="1" w:styleId="HeaderChar">
    <w:name w:val="Header Char"/>
    <w:basedOn w:val="DefaultParagraphFont"/>
    <w:link w:val="Header"/>
    <w:uiPriority w:val="99"/>
    <w:rsid w:val="0016190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16190A"/>
    <w:pPr>
      <w:tabs>
        <w:tab w:val="center" w:pos="4513"/>
        <w:tab w:val="right" w:pos="9026"/>
      </w:tabs>
    </w:pPr>
  </w:style>
  <w:style w:type="character" w:customStyle="1" w:styleId="FooterChar">
    <w:name w:val="Footer Char"/>
    <w:basedOn w:val="DefaultParagraphFont"/>
    <w:link w:val="Footer"/>
    <w:uiPriority w:val="99"/>
    <w:rsid w:val="0016190A"/>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50</Pages>
  <Words>13529</Words>
  <Characters>77119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cp:revision>
  <dcterms:created xsi:type="dcterms:W3CDTF">2019-12-10T04:38:00Z</dcterms:created>
  <dcterms:modified xsi:type="dcterms:W3CDTF">2021-10-13T00:58:00Z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A19455791</vt:lpwstr>
  </property>
  <property fmtid="{D5CDD505-2E9C-101B-9397-08002B2CF9AE}" pid="4" name="Objective-Title">
    <vt:lpwstr>7.2.1.8 Open space and recreation precinct - Assessable - UPDATED</vt:lpwstr>
  </property>
  <property fmtid="{D5CDD505-2E9C-101B-9397-08002B2CF9AE}" pid="5" name="Objective-Comment">
    <vt:lpwstr/>
  </property>
  <property fmtid="{D5CDD505-2E9C-101B-9397-08002B2CF9AE}" pid="6" name="Objective-CreationStamp">
    <vt:filetime>2019-12-10T06:10:32Z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2020-01-06T05:18:41Z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