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002"/>
        <w:gridCol w:w="10518"/>
        <w:gridCol w:w="1811"/>
        <w:gridCol w:w="2067"/>
      </w:tblGrid>
      <w:tr w:rsidR="00E52573" w:rsidRPr="00B63A90" w:rsidTr="00E52573">
        <w:trPr>
          <w:tblCellSpacing w:w="15" w:type="dxa"/>
        </w:trPr>
        <w:tc>
          <w:tcPr>
            <w:tcW w:w="4981" w:type="pct"/>
            <w:gridSpan w:val="4"/>
            <w:tcBorders>
              <w:top w:val="nil"/>
              <w:left w:val="nil"/>
              <w:bottom w:val="nil"/>
              <w:right w:val="nil"/>
            </w:tcBorders>
            <w:shd w:val="clear" w:color="auto" w:fill="CCCCCC"/>
            <w:vAlign w:val="center"/>
            <w:hideMark/>
          </w:tcPr>
          <w:p w:rsidR="00E52573" w:rsidRPr="00B63A90" w:rsidRDefault="00E52573" w:rsidP="00CF0D5B">
            <w:pPr>
              <w:jc w:val="center"/>
              <w:rPr>
                <w:rStyle w:val="Strong"/>
                <w:rFonts w:ascii="Arial" w:eastAsia="Times New Roman" w:hAnsi="Arial" w:cs="Arial"/>
                <w:sz w:val="20"/>
                <w:szCs w:val="20"/>
              </w:rPr>
            </w:pPr>
            <w:r w:rsidRPr="00B63A90">
              <w:rPr>
                <w:rStyle w:val="Strong"/>
                <w:rFonts w:ascii="Arial" w:eastAsia="Times New Roman" w:hAnsi="Arial" w:cs="Arial"/>
                <w:sz w:val="20"/>
                <w:szCs w:val="20"/>
              </w:rPr>
              <w:t>Table 7.2.1.8.1 Requirements for accepted development - Open space and recreation precinct</w:t>
            </w: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Requirements for accepted development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rPr>
                <w:rFonts w:ascii="Arial" w:eastAsia="Times New Roman" w:hAnsi="Arial" w:cs="Arial"/>
                <w:b/>
                <w:bCs/>
                <w:sz w:val="20"/>
                <w:szCs w:val="20"/>
              </w:rPr>
            </w:pPr>
            <w:r w:rsidRPr="00B63A90">
              <w:rPr>
                <w:rFonts w:ascii="Arial" w:eastAsia="Times New Roman" w:hAnsi="Arial" w:cs="Arial"/>
                <w:b/>
                <w:bCs/>
                <w:sz w:val="20"/>
                <w:szCs w:val="20"/>
              </w:rPr>
              <w:t>E Compliance</w:t>
            </w:r>
          </w:p>
          <w:p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Yes</w:t>
            </w:r>
          </w:p>
          <w:p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No See PO or</w:t>
            </w:r>
          </w:p>
          <w:p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NA</w:t>
            </w: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spacing w:before="150" w:after="150"/>
              <w:ind w:left="150" w:right="150"/>
              <w:rPr>
                <w:rFonts w:ascii="Arial" w:eastAsia="Times New Roman" w:hAnsi="Arial" w:cs="Arial"/>
                <w:b/>
                <w:bCs/>
                <w:sz w:val="20"/>
                <w:szCs w:val="20"/>
              </w:rPr>
            </w:pPr>
            <w:r w:rsidRPr="00B63A90">
              <w:rPr>
                <w:rFonts w:ascii="Arial" w:eastAsia="Times New Roman" w:hAnsi="Arial" w:cs="Arial"/>
                <w:b/>
                <w:bCs/>
                <w:sz w:val="20"/>
                <w:szCs w:val="20"/>
              </w:rPr>
              <w:t>Justification for compliance</w:t>
            </w:r>
          </w:p>
        </w:tc>
      </w:tr>
      <w:tr w:rsidR="00E52573" w:rsidRPr="00B63A90" w:rsidTr="00E52573">
        <w:trPr>
          <w:trHeight w:val="9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jc w:val="center"/>
              <w:rPr>
                <w:rFonts w:ascii="Arial" w:hAnsi="Arial" w:cs="Arial"/>
                <w:sz w:val="20"/>
                <w:szCs w:val="20"/>
              </w:rPr>
            </w:pPr>
            <w:r w:rsidRPr="00B63A90">
              <w:rPr>
                <w:rStyle w:val="Strong"/>
                <w:rFonts w:ascii="Arial" w:hAnsi="Arial" w:cs="Arial"/>
                <w:sz w:val="20"/>
                <w:szCs w:val="20"/>
              </w:rPr>
              <w:t>General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E52573" w:rsidRPr="00B63A90" w:rsidTr="00CF0D5B">
              <w:trPr>
                <w:tblCellSpacing w:w="15" w:type="dxa"/>
              </w:trPr>
              <w:tc>
                <w:tcPr>
                  <w:tcW w:w="0" w:type="auto"/>
                  <w:vAlign w:val="center"/>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Editor's Note - The requirements for accepted development do not apply where development is on Council owned or controlled land and is in accordance with a Council Master Plan approved under Council Policy.</w:t>
                  </w:r>
                </w:p>
              </w:tc>
            </w:tr>
          </w:tbl>
          <w:p w:rsidR="00E52573" w:rsidRPr="00B63A90" w:rsidRDefault="00E52573" w:rsidP="00E52573">
            <w:pPr>
              <w:pStyle w:val="NormalWeb"/>
              <w:jc w:val="center"/>
              <w:rPr>
                <w:rStyle w:val="Strong"/>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Built form outcomes for all development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RAD1</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Site cover does not exceed 10%.</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RAD2</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Building and structures are set back 10m from all boundaries.</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RAD3</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Building height does not exceed the maximum height identified on Overlay map – Building heights.</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Lighting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RAD4</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398"/>
            </w:tblGrid>
            <w:tr w:rsidR="00E52573" w:rsidRPr="00B63A90" w:rsidTr="00CF0D5B">
              <w:trPr>
                <w:tblCellSpacing w:w="15" w:type="dxa"/>
              </w:trPr>
              <w:tc>
                <w:tcPr>
                  <w:tcW w:w="0" w:type="auto"/>
                  <w:vAlign w:val="center"/>
                  <w:hideMark/>
                </w:tcPr>
                <w:p w:rsidR="00E52573" w:rsidRPr="00B63A90" w:rsidRDefault="00E52573" w:rsidP="00E52573">
                  <w:pPr>
                    <w:pStyle w:val="NormalWeb"/>
                    <w:rPr>
                      <w:rFonts w:ascii="Arial" w:hAnsi="Arial" w:cs="Arial"/>
                      <w:sz w:val="20"/>
                      <w:szCs w:val="20"/>
                    </w:rPr>
                  </w:pPr>
                  <w:r w:rsidRPr="00D569B1">
                    <w:rPr>
                      <w:rFonts w:ascii="Arial" w:hAnsi="Arial" w:cs="Arial"/>
                      <w:sz w:val="18"/>
                      <w:szCs w:val="20"/>
                    </w:rPr>
                    <w:t>Note - “Curfewed hours” are taken to be those hours between 10pm and 7am on the following day</w:t>
                  </w:r>
                </w:p>
              </w:tc>
            </w:tr>
          </w:tbl>
          <w:p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Waste</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RAD5</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Where involving an extension (building work) bins and bin storage areas are provided, designed and managed in accordance with Planning scheme policy – Waste.</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Landscaping and screening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r>
      <w:tr w:rsidR="00E52573" w:rsidRPr="00B63A90" w:rsidTr="00E52573">
        <w:trPr>
          <w:trHeight w:val="300"/>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RAD6</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Minimum area of 20% of the site is provided for landscaping.</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RAD7</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Outdoor storage areas are screened from adjoining sites and roads by either planting, wall(s), fence(s) or a combination to at least 1.8m in height along the length of the storage area.</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Car parking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r>
      <w:tr w:rsidR="00E52573" w:rsidRPr="00B63A90" w:rsidTr="00E52573">
        <w:trPr>
          <w:trHeight w:val="405"/>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RAD8</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On-site car parking is provided in accordance with Schedule 7 - Car parking.</w:t>
            </w: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Clearing of habitat trees where not located in the Environmental areas overlay map</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rPr>
                <w:rStyle w:val="Strong"/>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RAD9</w:t>
            </w:r>
          </w:p>
        </w:tc>
        <w:tc>
          <w:tcPr>
            <w:tcW w:w="3417"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Development does not result in the damaging, destroyed or clearing of a habitat tree. This does not apply to:</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lastRenderedPageBreak/>
              <w:t>Clearing of a habitat tree located within an approved development footprint;</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within 10m from a lawfully established building reasonably necessary for emergency access or immediately required in response to an accident or emergency;</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to remove or reduce the risk vegetation poses to serious personal injury or damage to infrastructure;</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for the purpose of maintenance or works within a registered easement for public infrastructure or drainage purposes;</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in accordance with a bushfire management plan prepared by a suitably qualified person, submitted to and accepted by Council;</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associated with removal of recognised weed species, maintaining existing open pastures and cropping land, windbreaks, lawns or created gardens;</w:t>
            </w:r>
          </w:p>
          <w:p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398"/>
            </w:tblGrid>
            <w:tr w:rsidR="00E52573" w:rsidRPr="00B63A90" w:rsidTr="00CF0D5B">
              <w:trPr>
                <w:tblCellSpacing w:w="15" w:type="dxa"/>
              </w:trPr>
              <w:tc>
                <w:tcPr>
                  <w:tcW w:w="0" w:type="auto"/>
                  <w:vAlign w:val="center"/>
                  <w:hideMark/>
                </w:tcPr>
                <w:p w:rsidR="00E52573" w:rsidRPr="00B63A90" w:rsidRDefault="00E52573" w:rsidP="00E52573">
                  <w:pPr>
                    <w:pStyle w:val="NormalWeb"/>
                    <w:rPr>
                      <w:rFonts w:ascii="Arial" w:hAnsi="Arial" w:cs="Arial"/>
                      <w:sz w:val="20"/>
                      <w:szCs w:val="20"/>
                    </w:rPr>
                  </w:pPr>
                  <w:r w:rsidRPr="00D569B1">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r w:rsidRPr="00B63A90">
                    <w:rPr>
                      <w:rFonts w:ascii="Arial" w:hAnsi="Arial" w:cs="Arial"/>
                      <w:sz w:val="20"/>
                      <w:szCs w:val="20"/>
                    </w:rPr>
                    <w:t>.</w:t>
                  </w:r>
                </w:p>
              </w:tc>
            </w:tr>
          </w:tbl>
          <w:p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E52573">
            <w:pPr>
              <w:pStyle w:val="NormalWeb"/>
              <w:jc w:val="center"/>
              <w:rPr>
                <w:rFonts w:ascii="Arial" w:hAnsi="Arial" w:cs="Arial"/>
                <w:sz w:val="20"/>
                <w:szCs w:val="20"/>
              </w:rPr>
            </w:pPr>
            <w:r w:rsidRPr="00B63A90">
              <w:rPr>
                <w:rStyle w:val="Strong"/>
                <w:rFonts w:ascii="Arial" w:hAnsi="Arial" w:cs="Arial"/>
                <w:sz w:val="20"/>
                <w:szCs w:val="20"/>
              </w:rPr>
              <w:t>Works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jc w:val="center"/>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E52573">
            <w:pPr>
              <w:pStyle w:val="NormalWeb"/>
              <w:jc w:val="center"/>
              <w:rPr>
                <w:rStyle w:val="Strong"/>
                <w:rFonts w:ascii="Arial" w:hAnsi="Arial" w:cs="Arial"/>
                <w:sz w:val="20"/>
                <w:szCs w:val="20"/>
              </w:rPr>
            </w:pPr>
          </w:p>
        </w:tc>
      </w:tr>
      <w:tr w:rsidR="00E52573" w:rsidRPr="00B63A90"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E52573">
            <w:pPr>
              <w:pStyle w:val="NormalWeb"/>
              <w:rPr>
                <w:rStyle w:val="Strong"/>
                <w:rFonts w:ascii="Arial" w:hAnsi="Arial" w:cs="Arial"/>
                <w:sz w:val="20"/>
                <w:szCs w:val="20"/>
              </w:rPr>
            </w:pPr>
          </w:p>
        </w:tc>
      </w:tr>
      <w:tr w:rsidR="00E52573" w:rsidRPr="00B63A90"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RAD10</w:t>
            </w:r>
          </w:p>
        </w:tc>
        <w:tc>
          <w:tcPr>
            <w:tcW w:w="341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E52573">
            <w:pPr>
              <w:pStyle w:val="NormalWeb"/>
              <w:rPr>
                <w:rFonts w:ascii="Arial" w:hAnsi="Arial" w:cs="Arial"/>
                <w:sz w:val="20"/>
                <w:szCs w:val="20"/>
              </w:rPr>
            </w:pPr>
            <w:r w:rsidRPr="00B63A90">
              <w:rPr>
                <w:rFonts w:ascii="Arial" w:hAnsi="Arial" w:cs="Arial"/>
                <w:sz w:val="20"/>
                <w:szCs w:val="20"/>
              </w:rPr>
              <w:t>Development is connected to: </w:t>
            </w:r>
          </w:p>
          <w:p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 existing reticulated electricity supply;</w:t>
            </w:r>
          </w:p>
          <w:p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telecommunications and broadband; </w:t>
            </w:r>
          </w:p>
          <w:p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reticulated sewerage; </w:t>
            </w:r>
          </w:p>
          <w:p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reticulated water.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398"/>
            </w:tblGrid>
            <w:tr w:rsidR="00E52573" w:rsidRPr="00B63A90" w:rsidTr="00CF0D5B">
              <w:trPr>
                <w:tblCellSpacing w:w="15" w:type="dxa"/>
              </w:trPr>
              <w:tc>
                <w:tcPr>
                  <w:tcW w:w="0" w:type="auto"/>
                  <w:vAlign w:val="center"/>
                  <w:hideMark/>
                </w:tcPr>
                <w:p w:rsidR="00E52573" w:rsidRPr="00B63A90" w:rsidRDefault="00E52573" w:rsidP="00E52573">
                  <w:pPr>
                    <w:pStyle w:val="NormalWeb"/>
                    <w:rPr>
                      <w:rFonts w:ascii="Arial" w:hAnsi="Arial" w:cs="Arial"/>
                      <w:sz w:val="20"/>
                      <w:szCs w:val="20"/>
                    </w:rPr>
                  </w:pPr>
                  <w:r w:rsidRPr="00D569B1">
                    <w:rPr>
                      <w:rFonts w:ascii="Arial" w:hAnsi="Arial" w:cs="Arial"/>
                      <w:sz w:val="18"/>
                      <w:szCs w:val="20"/>
                    </w:rPr>
                    <w:t>Note -  Refer to Planning scheme policy - Integrated design for appropriate level of service and infrastructure</w:t>
                  </w:r>
                  <w:r w:rsidRPr="00B63A90">
                    <w:rPr>
                      <w:rFonts w:ascii="Arial" w:hAnsi="Arial" w:cs="Arial"/>
                      <w:sz w:val="20"/>
                      <w:szCs w:val="20"/>
                    </w:rPr>
                    <w:t>. </w:t>
                  </w:r>
                </w:p>
              </w:tc>
            </w:tr>
          </w:tbl>
          <w:p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rsidR="00E52573" w:rsidRPr="00B63A90" w:rsidRDefault="00E52573" w:rsidP="00E52573">
            <w:pPr>
              <w:pStyle w:val="NormalWeb"/>
              <w:rPr>
                <w:rFonts w:ascii="Arial" w:hAnsi="Arial" w:cs="Arial"/>
                <w:sz w:val="20"/>
                <w:szCs w:val="20"/>
              </w:rPr>
            </w:pPr>
          </w:p>
        </w:tc>
      </w:tr>
    </w:tbl>
    <w:p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0675"/>
        <w:gridCol w:w="1758"/>
        <w:gridCol w:w="2056"/>
      </w:tblGrid>
      <w:tr w:rsidR="00E52573" w:rsidRPr="00B63A90" w:rsidTr="00E52573">
        <w:trPr>
          <w:tblCellSpacing w:w="15" w:type="dxa"/>
        </w:trPr>
        <w:tc>
          <w:tcPr>
            <w:tcW w:w="374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Access</w:t>
            </w:r>
          </w:p>
        </w:tc>
        <w:tc>
          <w:tcPr>
            <w:tcW w:w="563"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RAD11</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frontage road is fully constructed to Council’s standards.</w:t>
            </w:r>
          </w:p>
          <w:tbl>
            <w:tblPr>
              <w:tblW w:w="10511" w:type="dxa"/>
              <w:tblCellSpacing w:w="15" w:type="dxa"/>
              <w:tblCellMar>
                <w:top w:w="30" w:type="dxa"/>
                <w:left w:w="30" w:type="dxa"/>
                <w:bottom w:w="30" w:type="dxa"/>
                <w:right w:w="30" w:type="dxa"/>
              </w:tblCellMar>
              <w:tblLook w:val="04A0" w:firstRow="1" w:lastRow="0" w:firstColumn="1" w:lastColumn="0" w:noHBand="0" w:noVBand="1"/>
            </w:tblPr>
            <w:tblGrid>
              <w:gridCol w:w="10511"/>
            </w:tblGrid>
            <w:tr w:rsidR="00E52573" w:rsidRPr="00B63A90" w:rsidTr="00E52573">
              <w:trPr>
                <w:tblCellSpacing w:w="15" w:type="dxa"/>
              </w:trPr>
              <w:tc>
                <w:tcPr>
                  <w:tcW w:w="4971" w:type="pct"/>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t>
                  </w:r>
                  <w:r w:rsidRPr="00D569B1">
                    <w:rPr>
                      <w:rFonts w:ascii="Arial" w:hAnsi="Arial" w:cs="Arial"/>
                      <w:sz w:val="18"/>
                      <w:szCs w:val="20"/>
                    </w:rPr>
                    <w:lastRenderedPageBreak/>
                    <w:t>whether the existing works meet the standards in Planning scheme policy - Integrated design and Planning scheme policy - Operational works inspection, maintenance and bonding procedures.</w:t>
                  </w:r>
                </w:p>
              </w:tc>
            </w:tr>
            <w:tr w:rsidR="00E52573" w:rsidRPr="00B63A90" w:rsidTr="00E52573">
              <w:trPr>
                <w:tblCellSpacing w:w="15" w:type="dxa"/>
              </w:trPr>
              <w:tc>
                <w:tcPr>
                  <w:tcW w:w="4971" w:type="pct"/>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lastRenderedPageBreak/>
                    <w:t>Note - Frontage roads include streets where no direct lot access is provided.</w:t>
                  </w:r>
                </w:p>
              </w:tc>
            </w:tr>
          </w:tbl>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RAD12</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Any new or changes to existing crossovers and driveways are designed, located and constructed in accordance with:</w:t>
            </w:r>
          </w:p>
          <w:p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Council-controlled road and associated with a Dwelling house:</w:t>
            </w:r>
          </w:p>
          <w:p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Planning scheme policy - Integrated design;</w:t>
            </w:r>
          </w:p>
          <w:p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Council-controlled road and not associated with a Dwelling house:</w:t>
            </w:r>
          </w:p>
          <w:p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AS/NZS2890.1 Parking facilities Part 1: Off street car parking;</w:t>
            </w:r>
          </w:p>
          <w:p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AS/NZS 2890.2 - Parking facilities Part 2: Off-street commercial vehicle facilities;</w:t>
            </w:r>
          </w:p>
          <w:p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Planning scheme policy - Integrated design;</w:t>
            </w:r>
          </w:p>
          <w:p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Schedule 8 - Service vehicle requirements; </w:t>
            </w:r>
          </w:p>
          <w:p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RAD13</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RAD14</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3743"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Stormwater</w:t>
            </w:r>
          </w:p>
        </w:tc>
        <w:tc>
          <w:tcPr>
            <w:tcW w:w="563"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RAD15</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555"/>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B63A90">
                    <w:rPr>
                      <w:rFonts w:ascii="Arial" w:hAnsi="Arial" w:cs="Arial"/>
                      <w:sz w:val="20"/>
                      <w:szCs w:val="20"/>
                    </w:rPr>
                    <w:t>.</w:t>
                  </w:r>
                </w:p>
              </w:tc>
            </w:tr>
          </w:tbl>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RAD16</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spacing w:before="100" w:beforeAutospacing="1" w:after="100" w:afterAutospacing="1"/>
              <w:rPr>
                <w:rFonts w:ascii="Arial" w:hAnsi="Arial" w:cs="Arial"/>
                <w:sz w:val="20"/>
                <w:szCs w:val="20"/>
              </w:rPr>
            </w:pPr>
            <w:r w:rsidRPr="00B63A90">
              <w:rPr>
                <w:rFonts w:ascii="Arial" w:hAnsi="Arial" w:cs="Arial"/>
                <w:sz w:val="20"/>
                <w:szCs w:val="20"/>
              </w:rPr>
              <w:t>Development incorporates a ‘deemed to comply solution’ to manage stormwater quality where the development:</w:t>
            </w:r>
          </w:p>
          <w:p w:rsidR="00E52573" w:rsidRPr="00B63A90" w:rsidRDefault="00E52573" w:rsidP="00303D81">
            <w:pPr>
              <w:numPr>
                <w:ilvl w:val="0"/>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is for an urban purpose that involves a land area of 2500m</w:t>
            </w:r>
            <w:r w:rsidRPr="00B63A90">
              <w:rPr>
                <w:rFonts w:ascii="Arial" w:eastAsia="Times New Roman" w:hAnsi="Arial" w:cs="Arial"/>
                <w:sz w:val="20"/>
                <w:szCs w:val="20"/>
                <w:vertAlign w:val="superscript"/>
              </w:rPr>
              <w:t>2</w:t>
            </w:r>
            <w:r w:rsidRPr="00B63A90">
              <w:rPr>
                <w:rFonts w:ascii="Arial" w:eastAsia="Times New Roman" w:hAnsi="Arial" w:cs="Arial"/>
                <w:sz w:val="20"/>
                <w:szCs w:val="20"/>
              </w:rPr>
              <w:t xml:space="preserve"> or greater; and</w:t>
            </w:r>
          </w:p>
          <w:p w:rsidR="00E52573" w:rsidRPr="00B63A90" w:rsidRDefault="00E52573" w:rsidP="00303D81">
            <w:pPr>
              <w:numPr>
                <w:ilvl w:val="0"/>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will result in:</w:t>
            </w:r>
          </w:p>
          <w:p w:rsidR="00E52573" w:rsidRPr="00B63A90" w:rsidRDefault="00E52573" w:rsidP="00303D81">
            <w:pPr>
              <w:numPr>
                <w:ilvl w:val="1"/>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6 or more dwellings; or</w:t>
            </w:r>
          </w:p>
          <w:p w:rsidR="00E52573" w:rsidRPr="00B63A90" w:rsidRDefault="00E52573" w:rsidP="00303D81">
            <w:pPr>
              <w:numPr>
                <w:ilvl w:val="1"/>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spacing w:before="100" w:beforeAutospacing="1" w:after="100" w:afterAutospacing="1"/>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spacing w:before="100" w:beforeAutospacing="1" w:after="100" w:afterAutospacing="1"/>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RAD17</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RAD18</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RAD19</w:t>
            </w:r>
          </w:p>
        </w:tc>
        <w:tc>
          <w:tcPr>
            <w:tcW w:w="345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9"/>
              <w:gridCol w:w="5270"/>
            </w:tblGrid>
            <w:tr w:rsidR="00E52573" w:rsidRPr="00B63A90" w:rsidTr="00CF0D5B">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Pipe Diameter</w:t>
                  </w:r>
                </w:p>
                <w:p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Minimum Easement Width (excluding access requirements)</w:t>
                  </w:r>
                </w:p>
                <w:p w:rsidR="00E52573" w:rsidRPr="00B63A90" w:rsidRDefault="00E52573" w:rsidP="00CF0D5B">
                  <w:pPr>
                    <w:rPr>
                      <w:rFonts w:ascii="Arial" w:eastAsia="Times New Roman" w:hAnsi="Arial" w:cs="Arial"/>
                      <w:sz w:val="20"/>
                      <w:szCs w:val="20"/>
                    </w:rPr>
                  </w:pPr>
                </w:p>
              </w:tc>
            </w:tr>
            <w:tr w:rsidR="00E52573" w:rsidRPr="00B63A90"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up to 825mm diameter</w:t>
                  </w:r>
                </w:p>
                <w:p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3.0m</w:t>
                  </w:r>
                </w:p>
                <w:p w:rsidR="00E52573" w:rsidRPr="00B63A90" w:rsidRDefault="00E52573" w:rsidP="00CF0D5B">
                  <w:pPr>
                    <w:rPr>
                      <w:rFonts w:ascii="Arial" w:eastAsia="Times New Roman" w:hAnsi="Arial" w:cs="Arial"/>
                      <w:sz w:val="20"/>
                      <w:szCs w:val="20"/>
                    </w:rPr>
                  </w:pPr>
                </w:p>
              </w:tc>
            </w:tr>
            <w:tr w:rsidR="00E52573" w:rsidRPr="00B63A90"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up to 825mm diameter with Sewer pipe up to 225m diameter</w:t>
                  </w:r>
                </w:p>
                <w:p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4.0m</w:t>
                  </w:r>
                </w:p>
                <w:p w:rsidR="00E52573" w:rsidRPr="00B63A90" w:rsidRDefault="00E52573" w:rsidP="00CF0D5B">
                  <w:pPr>
                    <w:rPr>
                      <w:rFonts w:ascii="Arial" w:eastAsia="Times New Roman" w:hAnsi="Arial" w:cs="Arial"/>
                      <w:sz w:val="20"/>
                      <w:szCs w:val="20"/>
                    </w:rPr>
                  </w:pPr>
                </w:p>
              </w:tc>
            </w:tr>
            <w:tr w:rsidR="00E52573" w:rsidRPr="00B63A90"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greater than 825mm diameter</w:t>
                  </w:r>
                </w:p>
                <w:p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Easement boundary to be 1m clear of the outside wall of the pipe and clear of all pits.</w:t>
                  </w:r>
                </w:p>
                <w:p w:rsidR="00E52573" w:rsidRPr="00B63A90" w:rsidRDefault="00E52573" w:rsidP="00CF0D5B">
                  <w:pPr>
                    <w:rPr>
                      <w:rFonts w:ascii="Arial" w:eastAsia="Times New Roman" w:hAnsi="Arial" w:cs="Arial"/>
                      <w:sz w:val="20"/>
                      <w:szCs w:val="20"/>
                    </w:rPr>
                  </w:pPr>
                </w:p>
              </w:tc>
            </w:tr>
            <w:tr w:rsidR="00E52573" w:rsidRPr="00D569B1" w:rsidTr="00CF0D5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Additional easement width may be required in certain circumstances in order to facilitate maintenance access to the stormwater system.</w:t>
                  </w:r>
                </w:p>
              </w:tc>
            </w:tr>
          </w:tbl>
          <w:p w:rsidR="00E52573" w:rsidRPr="00D569B1" w:rsidRDefault="00E52573" w:rsidP="00CF0D5B">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D569B1" w:rsidTr="00CF0D5B">
              <w:trPr>
                <w:tblCellSpacing w:w="15" w:type="dxa"/>
              </w:trPr>
              <w:tc>
                <w:tcPr>
                  <w:tcW w:w="0" w:type="auto"/>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Refer to Planning scheme policy - Integrated design (Appendix C) for easement requirements over open channels.</w:t>
                  </w:r>
                </w:p>
              </w:tc>
            </w:tr>
          </w:tbl>
          <w:p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bl>
    <w:p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0733"/>
        <w:gridCol w:w="1700"/>
        <w:gridCol w:w="2056"/>
      </w:tblGrid>
      <w:tr w:rsidR="00E52573" w:rsidRPr="00B63A90" w:rsidTr="00E52573">
        <w:trPr>
          <w:tblCellSpacing w:w="15" w:type="dxa"/>
        </w:trPr>
        <w:tc>
          <w:tcPr>
            <w:tcW w:w="3761"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Site works and construction management</w:t>
            </w:r>
          </w:p>
        </w:tc>
        <w:tc>
          <w:tcPr>
            <w:tcW w:w="544"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RAD20</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site and any existing structures are to be maintained in a tidy and safe condition.</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RAD21</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RAD22</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 dust emissions extend beyond the boundaries of the site during soil disturbances and construction works.</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RAD23</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RAD24</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Any damage to Council land or infrastructure is repaired or replaced with the same materials, prior to plan sealing, or final building classification. </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RAD25</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RAD26</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Any material dropped, deposited or spilled on the road(s) as a result of construction processes associated with the site are to be cleaned at all times. </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RAD27</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No parking of vehicles or storage of machinery or goods is to occur in these areas during development works</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RAD28</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Disposal of materials is managed in one or more of the following ways:</w:t>
            </w:r>
          </w:p>
          <w:p w:rsidR="00E52573" w:rsidRPr="00B63A90" w:rsidRDefault="00E52573" w:rsidP="00303D81">
            <w:pPr>
              <w:numPr>
                <w:ilvl w:val="0"/>
                <w:numId w:val="5"/>
              </w:numPr>
              <w:spacing w:before="100" w:beforeAutospacing="1" w:after="100" w:afterAutospacing="1"/>
              <w:rPr>
                <w:rFonts w:ascii="Arial" w:hAnsi="Arial" w:cs="Arial"/>
                <w:sz w:val="20"/>
                <w:szCs w:val="20"/>
              </w:rPr>
            </w:pPr>
            <w:r w:rsidRPr="00B63A90">
              <w:rPr>
                <w:rFonts w:ascii="Arial" w:hAnsi="Arial" w:cs="Arial"/>
                <w:sz w:val="20"/>
                <w:szCs w:val="20"/>
              </w:rPr>
              <w:t>all cleared vegetation, declared weeds, stumps, rubbish, car bodies, scrap metal and the like are removed and disposed of in a Council land fill facility; or</w:t>
            </w:r>
          </w:p>
          <w:p w:rsidR="00E52573" w:rsidRPr="00B63A90" w:rsidRDefault="00E52573" w:rsidP="00303D81">
            <w:pPr>
              <w:pStyle w:val="NormalWeb"/>
              <w:numPr>
                <w:ilvl w:val="0"/>
                <w:numId w:val="5"/>
              </w:numPr>
              <w:rPr>
                <w:rFonts w:ascii="Arial" w:hAnsi="Arial" w:cs="Arial"/>
                <w:sz w:val="20"/>
                <w:szCs w:val="20"/>
              </w:rPr>
            </w:pPr>
            <w:r w:rsidRPr="00B63A9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rsidTr="00CF0D5B">
              <w:trPr>
                <w:tblCellSpacing w:w="15" w:type="dxa"/>
              </w:trPr>
              <w:tc>
                <w:tcPr>
                  <w:tcW w:w="0" w:type="auto"/>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No burning of cleared vegetation is permitted.</w:t>
                  </w:r>
                </w:p>
              </w:tc>
            </w:tr>
            <w:tr w:rsidR="00E52573" w:rsidRPr="00B63A90" w:rsidTr="00CF0D5B">
              <w:trPr>
                <w:tblCellSpacing w:w="15" w:type="dxa"/>
              </w:trPr>
              <w:tc>
                <w:tcPr>
                  <w:tcW w:w="0" w:type="auto"/>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chipped vegetation must be stored in an approved location.</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RAD29</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All development works are carried out within the following times:</w:t>
            </w:r>
          </w:p>
          <w:p w:rsidR="00E52573" w:rsidRPr="00B63A90" w:rsidRDefault="00E52573" w:rsidP="00303D81">
            <w:pPr>
              <w:numPr>
                <w:ilvl w:val="0"/>
                <w:numId w:val="6"/>
              </w:numPr>
              <w:spacing w:before="100" w:beforeAutospacing="1" w:after="100" w:afterAutospacing="1"/>
              <w:rPr>
                <w:rFonts w:ascii="Arial" w:hAnsi="Arial" w:cs="Arial"/>
                <w:sz w:val="20"/>
                <w:szCs w:val="20"/>
              </w:rPr>
            </w:pPr>
            <w:r w:rsidRPr="00B63A90">
              <w:rPr>
                <w:rFonts w:ascii="Arial" w:hAnsi="Arial" w:cs="Arial"/>
                <w:sz w:val="20"/>
                <w:szCs w:val="20"/>
              </w:rPr>
              <w:t>Monday to Saturday (other than public holidays) between 6:30am and 6:30pm on the same day;</w:t>
            </w:r>
          </w:p>
          <w:p w:rsidR="00E52573" w:rsidRPr="00B63A90" w:rsidRDefault="00E52573" w:rsidP="00303D81">
            <w:pPr>
              <w:numPr>
                <w:ilvl w:val="0"/>
                <w:numId w:val="6"/>
              </w:numPr>
              <w:spacing w:before="100" w:beforeAutospacing="1" w:after="100" w:afterAutospacing="1"/>
              <w:rPr>
                <w:rFonts w:ascii="Arial" w:hAnsi="Arial" w:cs="Arial"/>
                <w:sz w:val="20"/>
                <w:szCs w:val="20"/>
              </w:rPr>
            </w:pPr>
            <w:r w:rsidRPr="00B63A90">
              <w:rPr>
                <w:rFonts w:ascii="Arial" w:hAnsi="Arial" w:cs="Arial"/>
                <w:sz w:val="20"/>
                <w:szCs w:val="20"/>
              </w:rPr>
              <w:t>no work is to be carried out on Sundays or public holidays.</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3761"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Earthworks</w:t>
            </w:r>
          </w:p>
        </w:tc>
        <w:tc>
          <w:tcPr>
            <w:tcW w:w="544"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E52573" w:rsidRPr="00B63A90" w:rsidRDefault="00E52573" w:rsidP="00CF0D5B">
            <w:pPr>
              <w:pStyle w:val="NormalWeb"/>
              <w:rPr>
                <w:rStyle w:val="Strong"/>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RAD30</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Cut and fill batters, (other than batters to dams and water impoundments), have a finished slope no steeper than the following:</w:t>
            </w:r>
          </w:p>
          <w:p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cut batter is no steeper than 1V in 4H;</w:t>
            </w:r>
          </w:p>
          <w:p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fill batter, (other than a compacted fill batter), is no steeper than 1V in 4H;</w:t>
            </w:r>
          </w:p>
          <w:p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compacted fill batter is no steeper than 1V in 4H. </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RAD31</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RAD32</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Inspection and certification of steep slopes and batters may be required by a suitably qualified and experienced RPEQ.</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RAD33</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All fill and excavation is contained on-site and is free draining.</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RAD34</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Earthworks undertaken on the development site are shaped in a manner which does not:</w:t>
            </w:r>
          </w:p>
          <w:p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prevent stormwater surface flow which, prior to commencement of the earthworks, passed onto the development site, from entering the land; or </w:t>
            </w:r>
          </w:p>
          <w:p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redirect stormwater surface flow away from existing flow paths; or</w:t>
            </w:r>
          </w:p>
          <w:p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divert stormwater surface flow onto adjacent land (other than a road) in a manner which:</w:t>
            </w:r>
          </w:p>
          <w:p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concentrates the flow; or </w:t>
            </w:r>
          </w:p>
          <w:p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increases the flow rates of stormwater over the affected section of the adjacent land above the situation which existed prior to the diversion; or</w:t>
            </w:r>
          </w:p>
          <w:p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causes actionable nuisance to any person, property or premises. </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RAD35</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All fill placed on-site is:</w:t>
            </w:r>
          </w:p>
          <w:p w:rsidR="00E52573" w:rsidRPr="00B63A90" w:rsidRDefault="00E52573" w:rsidP="00DB3BA1">
            <w:pPr>
              <w:pStyle w:val="NormalWeb"/>
              <w:numPr>
                <w:ilvl w:val="0"/>
                <w:numId w:val="9"/>
              </w:numPr>
              <w:ind w:left="734"/>
              <w:rPr>
                <w:rFonts w:ascii="Arial" w:hAnsi="Arial" w:cs="Arial"/>
                <w:sz w:val="20"/>
                <w:szCs w:val="20"/>
              </w:rPr>
            </w:pPr>
            <w:r w:rsidRPr="00B63A90">
              <w:rPr>
                <w:rFonts w:ascii="Arial" w:hAnsi="Arial" w:cs="Arial"/>
                <w:sz w:val="20"/>
                <w:szCs w:val="20"/>
              </w:rPr>
              <w:t>limited to that necessary for the approved use;</w:t>
            </w:r>
          </w:p>
          <w:p w:rsidR="00E52573" w:rsidRPr="00B63A90" w:rsidRDefault="00E52573" w:rsidP="00DB3BA1">
            <w:pPr>
              <w:pStyle w:val="NormalWeb"/>
              <w:numPr>
                <w:ilvl w:val="0"/>
                <w:numId w:val="9"/>
              </w:numPr>
              <w:ind w:left="734"/>
              <w:rPr>
                <w:rFonts w:ascii="Arial" w:hAnsi="Arial" w:cs="Arial"/>
                <w:sz w:val="20"/>
                <w:szCs w:val="20"/>
              </w:rPr>
            </w:pPr>
            <w:r w:rsidRPr="00B63A90">
              <w:rPr>
                <w:rFonts w:ascii="Arial" w:hAnsi="Arial" w:cs="Arial"/>
                <w:sz w:val="20"/>
                <w:szCs w:val="20"/>
              </w:rPr>
              <w:lastRenderedPageBreak/>
              <w:t>clean and uncontaminated (i.e. no building waste, concrete, green waste, actual acid sulfate soils, potential acid sulfate soils or contaminated material etc.).</w:t>
            </w:r>
          </w:p>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RAD36</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site is prepared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fill is to be inspected and tested in accordance with Planning scheme policy - Operational works inspection, maintenance and bonding procedures</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RAD37</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rsidTr="00CF0D5B">
              <w:trPr>
                <w:tblCellSpacing w:w="15" w:type="dxa"/>
              </w:trPr>
              <w:tc>
                <w:tcPr>
                  <w:tcW w:w="0" w:type="auto"/>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Public sector entity is defined in Schedule 2 of the Act.</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RAD38</w:t>
            </w:r>
          </w:p>
        </w:tc>
        <w:tc>
          <w:tcPr>
            <w:tcW w:w="347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Filling or excavation that would result in any of the following is not carried out on site: </w:t>
            </w:r>
          </w:p>
          <w:p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a reduction in cover over any Council or public sector entity infrastructure to less than 600mm;</w:t>
            </w:r>
          </w:p>
          <w:p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rsidTr="00CF0D5B">
              <w:trPr>
                <w:tblCellSpacing w:w="15" w:type="dxa"/>
              </w:trPr>
              <w:tc>
                <w:tcPr>
                  <w:tcW w:w="0" w:type="auto"/>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Public sector entity is defined in Schedule 2 of the Act. </w:t>
                  </w:r>
                </w:p>
              </w:tc>
            </w:tr>
            <w:tr w:rsidR="00E52573" w:rsidRPr="00B63A90" w:rsidTr="00CF0D5B">
              <w:trPr>
                <w:tblCellSpacing w:w="15" w:type="dxa"/>
              </w:trPr>
              <w:tc>
                <w:tcPr>
                  <w:tcW w:w="0" w:type="auto"/>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All building work covered by QDC MP1.4 is excluded from this provision.</w:t>
                  </w:r>
                </w:p>
              </w:tc>
            </w:tr>
          </w:tbl>
          <w:p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bl>
    <w:p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044"/>
        <w:gridCol w:w="10321"/>
        <w:gridCol w:w="1635"/>
        <w:gridCol w:w="2382"/>
      </w:tblGrid>
      <w:tr w:rsidR="00E52573" w:rsidRPr="00B63A90"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105"/>
              <w:gridCol w:w="125"/>
            </w:tblGrid>
            <w:tr w:rsidR="00E52573" w:rsidRPr="00B63A90" w:rsidTr="00701F3E">
              <w:trPr>
                <w:tblCellSpacing w:w="15" w:type="dxa"/>
              </w:trPr>
              <w:tc>
                <w:tcPr>
                  <w:tcW w:w="14828" w:type="dxa"/>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The provisions under this heading only apply if:</w:t>
                  </w:r>
                </w:p>
                <w:p w:rsidR="00E52573" w:rsidRPr="00B63A90" w:rsidRDefault="00E52573" w:rsidP="00303D81">
                  <w:pPr>
                    <w:numPr>
                      <w:ilvl w:val="0"/>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development is for, or incorporates:</w:t>
                  </w:r>
                </w:p>
                <w:p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reconfiguring a lot for a community title scheme creating 1 or more vacant lots; or</w:t>
                  </w:r>
                </w:p>
                <w:p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2 or more sole occupancy units on the same lot, or within the same community titles scheme; or</w:t>
                  </w:r>
                </w:p>
                <w:p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a Tourist park</w:t>
                  </w:r>
                  <w:r w:rsidRPr="00B63A90">
                    <w:rPr>
                      <w:rFonts w:ascii="Arial" w:eastAsia="Times New Roman" w:hAnsi="Arial" w:cs="Arial"/>
                      <w:sz w:val="20"/>
                      <w:szCs w:val="20"/>
                      <w:vertAlign w:val="superscript"/>
                    </w:rPr>
                    <w:t>(</w:t>
                  </w:r>
                  <w:hyperlink r:id="rId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63A90">
                      <w:rPr>
                        <w:rStyle w:val="Hyperlink"/>
                        <w:rFonts w:ascii="Arial" w:eastAsia="Times New Roman" w:hAnsi="Arial" w:cs="Arial"/>
                        <w:sz w:val="20"/>
                        <w:szCs w:val="20"/>
                        <w:vertAlign w:val="superscript"/>
                      </w:rPr>
                      <w:t>84</w:t>
                    </w:r>
                  </w:hyperlink>
                  <w:r w:rsidRPr="00B63A90">
                    <w:rPr>
                      <w:rFonts w:ascii="Arial" w:eastAsia="Times New Roman" w:hAnsi="Arial" w:cs="Arial"/>
                      <w:sz w:val="20"/>
                      <w:szCs w:val="20"/>
                      <w:vertAlign w:val="superscript"/>
                    </w:rPr>
                    <w:t>)</w:t>
                  </w:r>
                  <w:r w:rsidRPr="00B63A90">
                    <w:rPr>
                      <w:rFonts w:ascii="Arial" w:eastAsia="Times New Roman" w:hAnsi="Arial" w:cs="Arial"/>
                      <w:sz w:val="20"/>
                      <w:szCs w:val="20"/>
                    </w:rPr>
                    <w:t xml:space="preserve"> with accommodation in the form of caravans or tents; or</w:t>
                  </w:r>
                </w:p>
                <w:p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outdoor sales</w:t>
                  </w:r>
                  <w:r w:rsidRPr="00B63A90">
                    <w:rPr>
                      <w:rFonts w:ascii="Arial" w:eastAsia="Times New Roman" w:hAnsi="Arial" w:cs="Arial"/>
                      <w:sz w:val="20"/>
                      <w:szCs w:val="20"/>
                      <w:vertAlign w:val="superscript"/>
                    </w:rPr>
                    <w:t>(</w:t>
                  </w:r>
                  <w:hyperlink r:id="rId8"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eastAsia="Times New Roman" w:hAnsi="Arial" w:cs="Arial"/>
                        <w:sz w:val="20"/>
                        <w:szCs w:val="20"/>
                        <w:vertAlign w:val="superscript"/>
                      </w:rPr>
                      <w:t>54</w:t>
                    </w:r>
                  </w:hyperlink>
                  <w:r w:rsidRPr="00B63A90">
                    <w:rPr>
                      <w:rFonts w:ascii="Arial" w:eastAsia="Times New Roman" w:hAnsi="Arial" w:cs="Arial"/>
                      <w:sz w:val="20"/>
                      <w:szCs w:val="20"/>
                      <w:vertAlign w:val="superscript"/>
                    </w:rPr>
                    <w:t>)</w:t>
                  </w:r>
                  <w:r w:rsidRPr="00B63A90">
                    <w:rPr>
                      <w:rFonts w:ascii="Arial" w:eastAsia="Times New Roman" w:hAnsi="Arial" w:cs="Arial"/>
                      <w:sz w:val="20"/>
                      <w:szCs w:val="20"/>
                    </w:rPr>
                    <w:t>, outdoor processing or outdoor storage where involving combustible materials.</w:t>
                  </w:r>
                </w:p>
                <w:p w:rsidR="00E52573" w:rsidRPr="00B63A90" w:rsidRDefault="00E52573" w:rsidP="00CF0D5B">
                  <w:pPr>
                    <w:pStyle w:val="NormalWeb"/>
                    <w:rPr>
                      <w:rFonts w:ascii="Arial" w:hAnsi="Arial" w:cs="Arial"/>
                      <w:sz w:val="20"/>
                      <w:szCs w:val="20"/>
                    </w:rPr>
                  </w:pPr>
                  <w:r w:rsidRPr="00B63A90">
                    <w:rPr>
                      <w:rFonts w:ascii="Arial" w:hAnsi="Arial" w:cs="Arial"/>
                      <w:sz w:val="20"/>
                      <w:szCs w:val="20"/>
                    </w:rPr>
                    <w:t>AND</w:t>
                  </w:r>
                </w:p>
                <w:p w:rsidR="00E52573" w:rsidRPr="00B63A90" w:rsidRDefault="00E52573" w:rsidP="00CF0D5B">
                  <w:pPr>
                    <w:rPr>
                      <w:rFonts w:ascii="Arial" w:eastAsia="Times New Roman" w:hAnsi="Arial" w:cs="Arial"/>
                      <w:sz w:val="20"/>
                      <w:szCs w:val="20"/>
                    </w:rPr>
                  </w:pPr>
                  <w:r w:rsidRPr="00B63A90">
                    <w:rPr>
                      <w:rFonts w:ascii="Arial" w:eastAsia="Times New Roman" w:hAnsi="Arial" w:cs="Arial"/>
                      <w:sz w:val="20"/>
                      <w:szCs w:val="20"/>
                    </w:rPr>
                    <w:br/>
                  </w:r>
                </w:p>
                <w:p w:rsidR="00E52573" w:rsidRPr="00B63A90" w:rsidRDefault="00E52573" w:rsidP="00303D81">
                  <w:pPr>
                    <w:numPr>
                      <w:ilvl w:val="0"/>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none of the following exceptions apply:</w:t>
                  </w:r>
                </w:p>
                <w:p w:rsidR="00E52573" w:rsidRPr="00B63A90" w:rsidRDefault="00E52573" w:rsidP="00303D81">
                  <w:pPr>
                    <w:numPr>
                      <w:ilvl w:val="1"/>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distributor-retailer for the area has indicated, in its netserv plan, that the premises will not be served by that entity’s reticulated water supply; or</w:t>
                  </w:r>
                </w:p>
                <w:p w:rsidR="00E52573" w:rsidRPr="00B63A90" w:rsidRDefault="00E52573" w:rsidP="00303D81">
                  <w:pPr>
                    <w:numPr>
                      <w:ilvl w:val="1"/>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c>
                <w:tcPr>
                  <w:tcW w:w="66" w:type="dxa"/>
                </w:tcPr>
                <w:p w:rsidR="00E52573" w:rsidRPr="00B63A90" w:rsidRDefault="00E52573" w:rsidP="00CF0D5B">
                  <w:pPr>
                    <w:pStyle w:val="NormalWeb"/>
                    <w:rPr>
                      <w:rFonts w:ascii="Arial" w:hAnsi="Arial" w:cs="Arial"/>
                      <w:sz w:val="20"/>
                      <w:szCs w:val="20"/>
                    </w:rPr>
                  </w:pPr>
                </w:p>
              </w:tc>
            </w:tr>
            <w:tr w:rsidR="00E52573" w:rsidRPr="00B63A90" w:rsidTr="00701F3E">
              <w:trPr>
                <w:tblCellSpacing w:w="15" w:type="dxa"/>
              </w:trPr>
              <w:tc>
                <w:tcPr>
                  <w:tcW w:w="14828" w:type="dxa"/>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c>
                <w:tcPr>
                  <w:tcW w:w="66" w:type="dxa"/>
                </w:tcPr>
                <w:p w:rsidR="00E52573" w:rsidRPr="00B63A90" w:rsidRDefault="00E52573" w:rsidP="00CF0D5B">
                  <w:pPr>
                    <w:pStyle w:val="NormalWeb"/>
                    <w:rPr>
                      <w:rFonts w:ascii="Arial" w:hAnsi="Arial" w:cs="Arial"/>
                      <w:sz w:val="20"/>
                      <w:szCs w:val="20"/>
                    </w:rPr>
                  </w:pP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RAD39</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External fire hydrant facilities are provided on site to the standard prescribed under the relevant parts of </w:t>
            </w:r>
            <w:r w:rsidRPr="00B63A90">
              <w:rPr>
                <w:rStyle w:val="Emphasis"/>
                <w:rFonts w:ascii="Arial" w:hAnsi="Arial" w:cs="Arial"/>
                <w:sz w:val="20"/>
                <w:szCs w:val="20"/>
              </w:rPr>
              <w:t>Australian Standard AS 2419.1 (2005) – Fire Hydrant Installations</w:t>
            </w:r>
            <w:r w:rsidRPr="00B63A9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rsidTr="00701F3E">
              <w:trPr>
                <w:tblCellSpacing w:w="15" w:type="dxa"/>
              </w:trPr>
              <w:tc>
                <w:tcPr>
                  <w:tcW w:w="13846" w:type="dxa"/>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For this requirement for accepted development, the following are the relevant parts of AS 2419.1 (2005):</w:t>
                  </w:r>
                </w:p>
                <w:p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the form of any fire hydrant - Part 8.5 and Part 3.2.2.1, with the exception that for Tourist parks</w:t>
                  </w:r>
                  <w:r w:rsidRPr="00B63A90">
                    <w:rPr>
                      <w:rFonts w:ascii="Arial"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63A90">
                      <w:rPr>
                        <w:rStyle w:val="Hyperlink"/>
                        <w:rFonts w:ascii="Arial" w:hAnsi="Arial" w:cs="Arial"/>
                        <w:sz w:val="20"/>
                        <w:szCs w:val="20"/>
                        <w:vertAlign w:val="superscript"/>
                      </w:rPr>
                      <w:t>84</w:t>
                    </w:r>
                  </w:hyperlink>
                  <w:r w:rsidRPr="00B63A90">
                    <w:rPr>
                      <w:rFonts w:ascii="Arial" w:hAnsi="Arial" w:cs="Arial"/>
                      <w:sz w:val="20"/>
                      <w:szCs w:val="20"/>
                      <w:vertAlign w:val="superscript"/>
                    </w:rPr>
                    <w:t>)</w:t>
                  </w:r>
                  <w:r w:rsidRPr="00B63A90">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the general locational requirements for fire hydrants - Part 3.2.2.2 (a), (e), (f), (g) and (h) as well as Appendix B of AS 2419.1 (2005);</w:t>
                  </w:r>
                </w:p>
                <w:p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the proximity of hydrants to buildings and other facilities - Part 3.2.2.2 (b), (c) and (d), with the exception that:</w:t>
                  </w:r>
                </w:p>
                <w:p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dwellings and their associated outbuildings, hydrant coverage need only extend to the roof and external walls of those buildings;</w:t>
                  </w:r>
                </w:p>
                <w:p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caravans and tents, hydrant coverage need only extend to the roof of those tents and caravans;</w:t>
                  </w:r>
                </w:p>
                <w:p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outdoor sales</w:t>
                  </w:r>
                  <w:r w:rsidRPr="00B63A90">
                    <w:rPr>
                      <w:rFonts w:ascii="Arial"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hAnsi="Arial" w:cs="Arial"/>
                        <w:sz w:val="20"/>
                        <w:szCs w:val="20"/>
                        <w:vertAlign w:val="superscript"/>
                      </w:rPr>
                      <w:t>54</w:t>
                    </w:r>
                  </w:hyperlink>
                  <w:r w:rsidRPr="00B63A90">
                    <w:rPr>
                      <w:rFonts w:ascii="Arial" w:hAnsi="Arial" w:cs="Arial"/>
                      <w:sz w:val="20"/>
                      <w:szCs w:val="20"/>
                      <w:vertAlign w:val="superscript"/>
                    </w:rPr>
                    <w:t>)</w:t>
                  </w:r>
                  <w:r w:rsidRPr="00B63A90">
                    <w:rPr>
                      <w:rFonts w:ascii="Arial" w:hAnsi="Arial" w:cs="Arial"/>
                      <w:sz w:val="20"/>
                      <w:szCs w:val="20"/>
                    </w:rPr>
                    <w:t>, processing or storage facilities, hydrant coverage is required across the entire area of the outdoor sales</w:t>
                  </w:r>
                  <w:r w:rsidRPr="00B63A90">
                    <w:rPr>
                      <w:rFonts w:ascii="Arial" w:hAnsi="Arial" w:cs="Arial"/>
                      <w:sz w:val="20"/>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hAnsi="Arial" w:cs="Arial"/>
                        <w:sz w:val="20"/>
                        <w:szCs w:val="20"/>
                        <w:vertAlign w:val="superscript"/>
                      </w:rPr>
                      <w:t>54</w:t>
                    </w:r>
                  </w:hyperlink>
                  <w:r w:rsidRPr="00B63A90">
                    <w:rPr>
                      <w:rFonts w:ascii="Arial" w:hAnsi="Arial" w:cs="Arial"/>
                      <w:sz w:val="20"/>
                      <w:szCs w:val="20"/>
                      <w:vertAlign w:val="superscript"/>
                    </w:rPr>
                    <w:t>)</w:t>
                  </w:r>
                  <w:r w:rsidRPr="00B63A90">
                    <w:rPr>
                      <w:rFonts w:ascii="Arial" w:hAnsi="Arial" w:cs="Arial"/>
                      <w:sz w:val="20"/>
                      <w:szCs w:val="20"/>
                    </w:rPr>
                    <w:t>, outdoor processing and outdoor storage facilities; and</w:t>
                  </w:r>
                </w:p>
                <w:p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fire hydrant accessibility and clearance requirements - Part 3.5 and where applicable, Part 3.6.</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RAD40</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unobstructed width of no less than 3.5m;</w:t>
            </w:r>
          </w:p>
          <w:p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unobstructed height of no less than 4.8m;</w:t>
            </w:r>
          </w:p>
          <w:p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constructed to be readily traversed by a 17 tonne HRV fire brigade pumping appliance;</w:t>
            </w:r>
          </w:p>
          <w:p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lastRenderedPageBreak/>
              <w:t>an area for a fire brigade pumping appliance to stand within 20m of each fire hydrant and 8m of each hydrant booster point.</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RAD41</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On-site fire hydrant facilities are maintained in effective operating order in a manner prescribed in </w:t>
            </w:r>
            <w:r w:rsidRPr="00B63A90">
              <w:rPr>
                <w:rStyle w:val="Emphasis"/>
                <w:rFonts w:ascii="Arial" w:hAnsi="Arial" w:cs="Arial"/>
                <w:sz w:val="20"/>
                <w:szCs w:val="20"/>
              </w:rPr>
              <w:t>Australian Standard AS1851 (2012) – Routine service of fire protection systems and equipment</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RAD42</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For development that contains on-site fire hydrants external to buildings:</w:t>
            </w:r>
          </w:p>
          <w:p w:rsidR="00E52573" w:rsidRPr="00B63A90" w:rsidRDefault="00E52573" w:rsidP="00303D81">
            <w:pPr>
              <w:numPr>
                <w:ilvl w:val="0"/>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those external hydrants can be seen from the vehicular entry point to the site; or</w:t>
            </w:r>
          </w:p>
          <w:p w:rsidR="00E52573" w:rsidRPr="00B63A90" w:rsidRDefault="00E52573" w:rsidP="00303D81">
            <w:pPr>
              <w:numPr>
                <w:ilvl w:val="0"/>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 sign identifying the following is provided at the vehicular entry point to the site:</w:t>
            </w:r>
          </w:p>
          <w:p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overall layout of the development (to scale);</w:t>
            </w:r>
          </w:p>
          <w:p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internal road names (where used);</w:t>
            </w:r>
          </w:p>
          <w:p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all communal facilities (where provided);</w:t>
            </w:r>
          </w:p>
          <w:p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reception area and on-site manager’s office (where provided);</w:t>
            </w:r>
          </w:p>
          <w:p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external hydrants and hydrant booster points;</w:t>
            </w:r>
          </w:p>
          <w:p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rsidTr="00701F3E">
              <w:trPr>
                <w:tblCellSpacing w:w="15" w:type="dxa"/>
              </w:trPr>
              <w:tc>
                <w:tcPr>
                  <w:tcW w:w="13846" w:type="dxa"/>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sign prescribed above, and the graphics used are to be:</w:t>
                  </w:r>
                </w:p>
                <w:p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in a form;</w:t>
                  </w:r>
                </w:p>
                <w:p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of a size;</w:t>
                  </w:r>
                </w:p>
                <w:p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illuminated to a level;</w:t>
                  </w:r>
                </w:p>
                <w:p w:rsidR="00E52573" w:rsidRPr="00B63A90" w:rsidRDefault="00E52573" w:rsidP="00CF0D5B">
                  <w:pPr>
                    <w:pStyle w:val="NormalWeb"/>
                    <w:rPr>
                      <w:rFonts w:ascii="Arial" w:hAnsi="Arial" w:cs="Arial"/>
                      <w:sz w:val="20"/>
                      <w:szCs w:val="20"/>
                    </w:rPr>
                  </w:pPr>
                  <w:r w:rsidRPr="00D569B1">
                    <w:rPr>
                      <w:rFonts w:ascii="Arial" w:hAnsi="Arial" w:cs="Arial"/>
                      <w:sz w:val="18"/>
                      <w:szCs w:val="20"/>
                    </w:rPr>
                    <w:t>which allows the information on the sign to be readily understood, at all times, by a person in a fire fighting appliance up to 4.5m from the sign.</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RAD43</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B63A90">
              <w:rPr>
                <w:rStyle w:val="Emphasis"/>
                <w:rFonts w:ascii="Arial" w:hAnsi="Arial" w:cs="Arial"/>
                <w:sz w:val="20"/>
                <w:szCs w:val="20"/>
              </w:rPr>
              <w:t>Fire hydrant indication system</w:t>
            </w:r>
            <w:r w:rsidRPr="00B63A9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rsidTr="00701F3E">
              <w:trPr>
                <w:tblCellSpacing w:w="15" w:type="dxa"/>
              </w:trPr>
              <w:tc>
                <w:tcPr>
                  <w:tcW w:w="13846" w:type="dxa"/>
                  <w:vAlign w:val="center"/>
                  <w:hideMark/>
                </w:tcPr>
                <w:p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Technical note Fire hydrant indication system is available on the website of the Queensland Department of Transport and Main Roads.</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CF0D5B">
            <w:pPr>
              <w:pStyle w:val="NormalWeb"/>
              <w:jc w:val="center"/>
              <w:rPr>
                <w:rFonts w:ascii="Arial" w:hAnsi="Arial" w:cs="Arial"/>
                <w:sz w:val="20"/>
                <w:szCs w:val="20"/>
              </w:rPr>
            </w:pPr>
            <w:r w:rsidRPr="00B63A90">
              <w:rPr>
                <w:rStyle w:val="Strong"/>
                <w:rFonts w:ascii="Arial" w:hAnsi="Arial" w:cs="Arial"/>
                <w:sz w:val="20"/>
                <w:szCs w:val="20"/>
              </w:rPr>
              <w:t>Use specific requirements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jc w:val="center"/>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jc w:val="center"/>
              <w:rPr>
                <w:rStyle w:val="Strong"/>
                <w:rFonts w:ascii="Arial" w:hAnsi="Arial" w:cs="Arial"/>
                <w:sz w:val="20"/>
                <w:szCs w:val="20"/>
              </w:rPr>
            </w:pPr>
          </w:p>
        </w:tc>
      </w:tr>
      <w:tr w:rsidR="00E52573" w:rsidRPr="00B63A90"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Caretaker's accommodation</w:t>
            </w:r>
            <w:r w:rsidRPr="00B63A90">
              <w:rPr>
                <w:rFonts w:ascii="Arial" w:hAnsi="Arial" w:cs="Arial"/>
                <w:sz w:val="20"/>
                <w:szCs w:val="20"/>
                <w:vertAlign w:val="superscript"/>
              </w:rPr>
              <w:t>(</w:t>
            </w:r>
            <w:hyperlink r:id="rId12"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r>
      <w:tr w:rsidR="00E52573" w:rsidRPr="00B63A90" w:rsidTr="00D569B1">
        <w:trPr>
          <w:trHeight w:val="390"/>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RAD44</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 Caretaker's accommodation</w:t>
            </w:r>
            <w:r w:rsidRPr="00B63A90">
              <w:rPr>
                <w:rFonts w:ascii="Arial" w:hAnsi="Arial" w:cs="Arial"/>
                <w:sz w:val="20"/>
                <w:szCs w:val="20"/>
                <w:vertAlign w:val="superscript"/>
              </w:rPr>
              <w:t>(</w:t>
            </w:r>
            <w:hyperlink r:id="rId13"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r w:rsidRPr="00B63A90">
              <w:rPr>
                <w:rFonts w:ascii="Arial" w:hAnsi="Arial" w:cs="Arial"/>
                <w:sz w:val="20"/>
                <w:szCs w:val="20"/>
              </w:rPr>
              <w:t xml:space="preserve"> has a maximum GFA of 80m</w:t>
            </w:r>
            <w:r w:rsidRPr="00B63A90">
              <w:rPr>
                <w:rFonts w:ascii="Arial" w:hAnsi="Arial" w:cs="Arial"/>
                <w:sz w:val="20"/>
                <w:szCs w:val="20"/>
                <w:vertAlign w:val="superscript"/>
              </w:rPr>
              <w:t>2</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RAD45</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 more than 1 Caretaker's accommodation</w:t>
            </w:r>
            <w:r w:rsidRPr="00B63A90">
              <w:rPr>
                <w:rFonts w:ascii="Arial" w:hAnsi="Arial" w:cs="Arial"/>
                <w:sz w:val="20"/>
                <w:szCs w:val="20"/>
                <w:vertAlign w:val="superscript"/>
              </w:rPr>
              <w:t>(</w:t>
            </w:r>
            <w:hyperlink r:id="rId14"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r w:rsidRPr="00B63A90">
              <w:rPr>
                <w:rFonts w:ascii="Arial" w:hAnsi="Arial" w:cs="Arial"/>
                <w:sz w:val="20"/>
                <w:szCs w:val="20"/>
              </w:rPr>
              <w:t xml:space="preserve"> is established per site.</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RAD46</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Does not gain access from a separate driveway from a road frontage.</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Food and drink outlet</w:t>
            </w:r>
            <w:r w:rsidRPr="00B63A90">
              <w:rPr>
                <w:rFonts w:ascii="Arial" w:hAnsi="Arial" w:cs="Arial"/>
                <w:sz w:val="20"/>
                <w:szCs w:val="20"/>
                <w:vertAlign w:val="superscript"/>
              </w:rPr>
              <w:t>(</w:t>
            </w:r>
            <w:hyperlink r:id="rId15" w:anchor="target-d768251e571018" w:tooltip="Food and drink outlet - Premises used for preparation and sale of food and drink to the public for consumption on or off the site. The use may include the ancillary sale of liquor for consumption on site." w:history="1">
              <w:r w:rsidRPr="00B63A90">
                <w:rPr>
                  <w:rStyle w:val="Hyperlink"/>
                  <w:rFonts w:ascii="Arial" w:hAnsi="Arial" w:cs="Arial"/>
                  <w:sz w:val="20"/>
                  <w:szCs w:val="20"/>
                  <w:vertAlign w:val="superscript"/>
                </w:rPr>
                <w:t>28</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RAD47</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GFA is no more than 150m</w:t>
            </w:r>
            <w:r w:rsidRPr="00B63A90">
              <w:rPr>
                <w:rFonts w:ascii="Arial" w:hAnsi="Arial" w:cs="Arial"/>
                <w:sz w:val="20"/>
                <w:szCs w:val="20"/>
                <w:vertAlign w:val="superscript"/>
              </w:rPr>
              <w:t>2</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RAD48</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Operates in conjunction with a recreation or open space use occurring on the same site</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RAD49</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Does not have a liquor or gambling licence.</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Market</w:t>
            </w:r>
            <w:r w:rsidRPr="00B63A90">
              <w:rPr>
                <w:rFonts w:ascii="Arial" w:hAnsi="Arial" w:cs="Arial"/>
                <w:sz w:val="20"/>
                <w:szCs w:val="20"/>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B63A90">
                <w:rPr>
                  <w:rStyle w:val="Hyperlink"/>
                  <w:rFonts w:ascii="Arial" w:hAnsi="Arial" w:cs="Arial"/>
                  <w:sz w:val="20"/>
                  <w:szCs w:val="20"/>
                  <w:vertAlign w:val="superscript"/>
                </w:rPr>
                <w:t>46</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RAD50</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market</w:t>
            </w:r>
            <w:r w:rsidRPr="00B63A90">
              <w:rPr>
                <w:rFonts w:ascii="Arial" w:hAnsi="Arial" w:cs="Arial"/>
                <w:sz w:val="20"/>
                <w:szCs w:val="20"/>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B63A90">
                <w:rPr>
                  <w:rStyle w:val="Hyperlink"/>
                  <w:rFonts w:ascii="Arial" w:hAnsi="Arial" w:cs="Arial"/>
                  <w:sz w:val="20"/>
                  <w:szCs w:val="20"/>
                  <w:vertAlign w:val="superscript"/>
                </w:rPr>
                <w:t>46</w:t>
              </w:r>
            </w:hyperlink>
            <w:r w:rsidRPr="00B63A90">
              <w:rPr>
                <w:rFonts w:ascii="Arial" w:hAnsi="Arial" w:cs="Arial"/>
                <w:sz w:val="20"/>
                <w:szCs w:val="20"/>
                <w:vertAlign w:val="superscript"/>
              </w:rPr>
              <w:t>)</w:t>
            </w:r>
            <w:r w:rsidRPr="00B63A90">
              <w:rPr>
                <w:rFonts w:ascii="Arial" w:hAnsi="Arial" w:cs="Arial"/>
                <w:sz w:val="20"/>
                <w:szCs w:val="20"/>
              </w:rPr>
              <w:t xml:space="preserve"> does not impact on the ability to undertake activities associated with the primary recreation and open space purpose of the site.</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RAD51</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Operates as follows:</w:t>
            </w:r>
          </w:p>
          <w:p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more than 2 days in any week;</w:t>
            </w:r>
          </w:p>
          <w:p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more than 50 individual stalls;</w:t>
            </w:r>
          </w:p>
          <w:p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All activities, including set-up and pack-up, occur within the hours of 7.00am and 3.00pm;</w:t>
            </w:r>
          </w:p>
          <w:p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use of amplified music, public address systems and noise generating plant and equipment;</w:t>
            </w:r>
          </w:p>
          <w:p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Waste containers are provided at a rate of 1 per food stall and 1 per 4 non-food stalls.</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701F3E" w:rsidRPr="00B63A90" w:rsidTr="00701F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01F3E" w:rsidRPr="00B63A90" w:rsidRDefault="00701F3E" w:rsidP="00CF0D5B">
            <w:pPr>
              <w:pStyle w:val="NormalWeb"/>
              <w:rPr>
                <w:rFonts w:ascii="Arial" w:hAnsi="Arial" w:cs="Arial"/>
                <w:sz w:val="20"/>
                <w:szCs w:val="20"/>
              </w:rPr>
            </w:pPr>
            <w:r w:rsidRPr="00B63A90">
              <w:rPr>
                <w:rStyle w:val="Strong"/>
                <w:rFonts w:ascii="Arial" w:hAnsi="Arial" w:cs="Arial"/>
                <w:sz w:val="20"/>
                <w:szCs w:val="20"/>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rsidTr="00701F3E">
              <w:trPr>
                <w:tblCellSpacing w:w="15" w:type="dxa"/>
              </w:trPr>
              <w:tc>
                <w:tcPr>
                  <w:tcW w:w="14924" w:type="dxa"/>
                  <w:shd w:val="clear" w:color="auto" w:fill="CCCCCC"/>
                  <w:vAlign w:val="center"/>
                  <w:hideMark/>
                </w:tcPr>
                <w:p w:rsidR="00701F3E" w:rsidRPr="00B63A90" w:rsidRDefault="00701F3E" w:rsidP="00CF0D5B">
                  <w:pPr>
                    <w:pStyle w:val="NormalWeb"/>
                    <w:rPr>
                      <w:rFonts w:ascii="Arial" w:hAnsi="Arial" w:cs="Arial"/>
                      <w:sz w:val="20"/>
                      <w:szCs w:val="20"/>
                    </w:rPr>
                  </w:pPr>
                  <w:r w:rsidRPr="00B63A90">
                    <w:rPr>
                      <w:rFonts w:ascii="Arial" w:hAnsi="Arial" w:cs="Arial"/>
                      <w:sz w:val="20"/>
                      <w:szCs w:val="20"/>
                    </w:rPr>
                    <w:t>Editor's note - In accordance with the Federal legislation Telecommunications facilities</w:t>
                  </w:r>
                  <w:r w:rsidRPr="00B63A90">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B63A90">
                      <w:rPr>
                        <w:rStyle w:val="Hyperlink"/>
                        <w:rFonts w:ascii="Arial" w:hAnsi="Arial" w:cs="Arial"/>
                        <w:sz w:val="20"/>
                        <w:szCs w:val="20"/>
                        <w:vertAlign w:val="superscript"/>
                      </w:rPr>
                      <w:t>81</w:t>
                    </w:r>
                  </w:hyperlink>
                  <w:r w:rsidRPr="00B63A90">
                    <w:rPr>
                      <w:rFonts w:ascii="Arial" w:hAnsi="Arial" w:cs="Arial"/>
                      <w:sz w:val="20"/>
                      <w:szCs w:val="20"/>
                      <w:vertAlign w:val="superscript"/>
                    </w:rPr>
                    <w:t>)</w:t>
                  </w:r>
                  <w:r w:rsidRPr="00B63A90">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701F3E" w:rsidRPr="00B63A90" w:rsidRDefault="00701F3E"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RAD52</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 minimum area of 45m</w:t>
            </w:r>
            <w:r w:rsidRPr="00B63A90">
              <w:rPr>
                <w:rFonts w:ascii="Arial" w:hAnsi="Arial" w:cs="Arial"/>
                <w:sz w:val="20"/>
                <w:szCs w:val="20"/>
                <w:vertAlign w:val="superscript"/>
              </w:rPr>
              <w:t>2</w:t>
            </w:r>
            <w:r w:rsidRPr="00B63A90">
              <w:rPr>
                <w:rFonts w:ascii="Arial" w:hAnsi="Arial" w:cs="Arial"/>
                <w:sz w:val="20"/>
                <w:szCs w:val="20"/>
              </w:rPr>
              <w:t xml:space="preserve"> is available to allow for additional equipment shelters and associated structures for the purpose of co-locating on the proposed facility.</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RAD53</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RAD54</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Equipment shelters and associated structures are located:</w:t>
            </w:r>
          </w:p>
          <w:p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directly beside the existing equipment shelter and associated structures;</w:t>
            </w:r>
          </w:p>
          <w:p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behind the main building line;</w:t>
            </w:r>
          </w:p>
          <w:p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further away from the frontage than the existing equipment shelter and associated structures;</w:t>
            </w:r>
          </w:p>
          <w:p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 minimum of 10m from side and rear boundaries, except where in the Industry and Extractive industry zones, the minimum side and rear setback is 3m.</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RAD55</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Equipment shelters and other associated structures are either the same type of colour or material to match the surrounding locality.</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RAD56</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facility is enclosed by security fencing or by other means to ensure public access is prohibited.</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RAD57</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rsidTr="00701F3E">
              <w:trPr>
                <w:tblCellSpacing w:w="15" w:type="dxa"/>
              </w:trPr>
              <w:tc>
                <w:tcPr>
                  <w:tcW w:w="13846" w:type="dxa"/>
                  <w:vAlign w:val="center"/>
                  <w:hideMark/>
                </w:tcPr>
                <w:p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Landscaping is provided in accordance with Planning scheme policy - Integrated design.</w:t>
                  </w:r>
                </w:p>
              </w:tc>
            </w:tr>
            <w:tr w:rsidR="00E52573" w:rsidRPr="00B63A90" w:rsidTr="00701F3E">
              <w:trPr>
                <w:tblCellSpacing w:w="15" w:type="dxa"/>
              </w:trPr>
              <w:tc>
                <w:tcPr>
                  <w:tcW w:w="13846" w:type="dxa"/>
                  <w:vAlign w:val="center"/>
                  <w:hideMark/>
                </w:tcPr>
                <w:p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rHeight w:val="960"/>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RAD58</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All equipment comprising the telecommunications facility</w:t>
            </w:r>
            <w:r w:rsidRPr="00B63A90">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63A90">
                <w:rPr>
                  <w:rStyle w:val="Hyperlink"/>
                  <w:rFonts w:ascii="Arial" w:hAnsi="Arial" w:cs="Arial"/>
                  <w:sz w:val="20"/>
                  <w:szCs w:val="20"/>
                  <w:vertAlign w:val="superscript"/>
                </w:rPr>
                <w:t>81</w:t>
              </w:r>
            </w:hyperlink>
            <w:r w:rsidRPr="00B63A90">
              <w:rPr>
                <w:rFonts w:ascii="Arial" w:hAnsi="Arial" w:cs="Arial"/>
                <w:sz w:val="20"/>
                <w:szCs w:val="20"/>
                <w:vertAlign w:val="superscript"/>
              </w:rPr>
              <w:t>)</w:t>
            </w:r>
            <w:r w:rsidRPr="00B63A9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701F3E" w:rsidRPr="00B63A90" w:rsidTr="00701F3E">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01F3E" w:rsidRPr="00B63A90" w:rsidRDefault="00701F3E" w:rsidP="00CF0D5B">
            <w:pPr>
              <w:pStyle w:val="NormalWeb"/>
              <w:jc w:val="center"/>
              <w:rPr>
                <w:rFonts w:ascii="Arial" w:hAnsi="Arial" w:cs="Arial"/>
                <w:sz w:val="20"/>
                <w:szCs w:val="20"/>
              </w:rPr>
            </w:pPr>
            <w:r w:rsidRPr="00B63A90">
              <w:rPr>
                <w:rStyle w:val="Strong"/>
                <w:rFonts w:ascii="Arial" w:hAnsi="Arial" w:cs="Arial"/>
                <w:sz w:val="20"/>
                <w:szCs w:val="20"/>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rsidTr="00701F3E">
              <w:trPr>
                <w:tblCellSpacing w:w="15" w:type="dxa"/>
                <w:jc w:val="center"/>
              </w:trPr>
              <w:tc>
                <w:tcPr>
                  <w:tcW w:w="14924" w:type="dxa"/>
                  <w:shd w:val="clear" w:color="auto" w:fill="CCCCCC"/>
                  <w:vAlign w:val="center"/>
                  <w:hideMark/>
                </w:tcPr>
                <w:p w:rsidR="00701F3E" w:rsidRPr="00B63A90" w:rsidRDefault="00701F3E" w:rsidP="00CF0D5B">
                  <w:pPr>
                    <w:pStyle w:val="NormalWeb"/>
                    <w:rPr>
                      <w:rFonts w:ascii="Arial" w:hAnsi="Arial" w:cs="Arial"/>
                      <w:sz w:val="20"/>
                      <w:szCs w:val="20"/>
                    </w:rPr>
                  </w:pPr>
                  <w:r w:rsidRPr="00B63A90">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701F3E" w:rsidRPr="00B63A90" w:rsidRDefault="00701F3E" w:rsidP="00CF0D5B">
            <w:pPr>
              <w:pStyle w:val="NormalWeb"/>
              <w:jc w:val="center"/>
              <w:rPr>
                <w:rStyle w:val="Strong"/>
                <w:rFonts w:ascii="Arial" w:hAnsi="Arial" w:cs="Arial"/>
                <w:sz w:val="20"/>
                <w:szCs w:val="20"/>
              </w:rPr>
            </w:pPr>
          </w:p>
        </w:tc>
      </w:tr>
      <w:tr w:rsidR="00701F3E" w:rsidRPr="00B63A90" w:rsidTr="00701F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01F3E" w:rsidRPr="00B63A90" w:rsidRDefault="00701F3E" w:rsidP="00CF0D5B">
            <w:pPr>
              <w:pStyle w:val="NormalWeb"/>
              <w:rPr>
                <w:rFonts w:ascii="Arial" w:hAnsi="Arial" w:cs="Arial"/>
                <w:sz w:val="20"/>
                <w:szCs w:val="20"/>
              </w:rPr>
            </w:pPr>
            <w:r w:rsidRPr="00B63A90">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rsidTr="00701F3E">
              <w:trPr>
                <w:tblCellSpacing w:w="15" w:type="dxa"/>
              </w:trPr>
              <w:tc>
                <w:tcPr>
                  <w:tcW w:w="14924" w:type="dxa"/>
                  <w:shd w:val="clear" w:color="auto" w:fill="CCCCCC"/>
                  <w:vAlign w:val="center"/>
                  <w:hideMark/>
                </w:tcPr>
                <w:p w:rsidR="00701F3E" w:rsidRPr="00B63A90" w:rsidRDefault="00701F3E" w:rsidP="00CF0D5B">
                  <w:pPr>
                    <w:rPr>
                      <w:rFonts w:ascii="Arial" w:eastAsia="Times New Roman" w:hAnsi="Arial" w:cs="Arial"/>
                      <w:sz w:val="20"/>
                      <w:szCs w:val="20"/>
                    </w:rPr>
                  </w:pPr>
                  <w:r w:rsidRPr="00B63A90">
                    <w:rPr>
                      <w:rFonts w:ascii="Arial" w:eastAsia="Times New Roman" w:hAnsi="Arial" w:cs="Arial"/>
                      <w:sz w:val="20"/>
                      <w:szCs w:val="20"/>
                    </w:rPr>
                    <w:t>Note - Planning scheme policy - Acid sulfate soils provides guidance for requirements for accepted development that has the potential to disturb acid sulfate soils i.e. development involving filling or excavation works below the thresholds of 100m</w:t>
                  </w:r>
                  <w:r w:rsidRPr="00B63A90">
                    <w:rPr>
                      <w:rFonts w:ascii="Arial" w:eastAsia="Times New Roman" w:hAnsi="Arial" w:cs="Arial"/>
                      <w:sz w:val="20"/>
                      <w:szCs w:val="20"/>
                      <w:vertAlign w:val="superscript"/>
                    </w:rPr>
                    <w:t>3</w:t>
                  </w:r>
                  <w:r w:rsidRPr="00B63A90">
                    <w:rPr>
                      <w:rFonts w:ascii="Arial" w:eastAsia="Times New Roman" w:hAnsi="Arial" w:cs="Arial"/>
                      <w:sz w:val="20"/>
                      <w:szCs w:val="20"/>
                    </w:rPr>
                    <w:t xml:space="preserve"> and 500m</w:t>
                  </w:r>
                  <w:r w:rsidRPr="00B63A90">
                    <w:rPr>
                      <w:rFonts w:ascii="Arial" w:eastAsia="Times New Roman" w:hAnsi="Arial" w:cs="Arial"/>
                      <w:sz w:val="20"/>
                      <w:szCs w:val="20"/>
                      <w:vertAlign w:val="superscript"/>
                    </w:rPr>
                    <w:t>3</w:t>
                  </w:r>
                  <w:r w:rsidRPr="00B63A90">
                    <w:rPr>
                      <w:rFonts w:ascii="Arial" w:eastAsia="Times New Roman" w:hAnsi="Arial" w:cs="Arial"/>
                      <w:sz w:val="20"/>
                      <w:szCs w:val="20"/>
                    </w:rPr>
                    <w:t xml:space="preserve"> respectively.</w:t>
                  </w:r>
                </w:p>
              </w:tc>
            </w:tr>
          </w:tbl>
          <w:p w:rsidR="00701F3E" w:rsidRPr="00B63A90" w:rsidRDefault="00701F3E"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RAD59</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involve:</w:t>
            </w:r>
          </w:p>
          <w:p w:rsidR="00E52573" w:rsidRPr="00B63A90" w:rsidRDefault="00E52573" w:rsidP="00303D81">
            <w:pPr>
              <w:pStyle w:val="NormalWeb"/>
              <w:numPr>
                <w:ilvl w:val="0"/>
                <w:numId w:val="19"/>
              </w:numPr>
              <w:rPr>
                <w:rFonts w:ascii="Arial" w:hAnsi="Arial" w:cs="Arial"/>
                <w:sz w:val="20"/>
                <w:szCs w:val="20"/>
              </w:rPr>
            </w:pPr>
            <w:r w:rsidRPr="00B63A90">
              <w:rPr>
                <w:rFonts w:ascii="Arial" w:hAnsi="Arial" w:cs="Arial"/>
                <w:sz w:val="20"/>
                <w:szCs w:val="20"/>
              </w:rPr>
              <w:t>excavation or otherwise removing of more than 100m</w:t>
            </w:r>
            <w:r w:rsidRPr="00B63A90">
              <w:rPr>
                <w:rFonts w:ascii="Arial" w:hAnsi="Arial" w:cs="Arial"/>
                <w:sz w:val="20"/>
                <w:szCs w:val="20"/>
                <w:vertAlign w:val="superscript"/>
              </w:rPr>
              <w:t>3</w:t>
            </w:r>
            <w:r w:rsidRPr="00B63A90">
              <w:rPr>
                <w:rFonts w:ascii="Arial" w:hAnsi="Arial" w:cs="Arial"/>
                <w:sz w:val="20"/>
                <w:szCs w:val="20"/>
              </w:rPr>
              <w:t xml:space="preserve"> of soil or sediment where below 5m Australian Height Datum AHD, or</w:t>
            </w:r>
          </w:p>
          <w:p w:rsidR="00E52573" w:rsidRPr="00B63A90" w:rsidRDefault="00E52573" w:rsidP="00303D81">
            <w:pPr>
              <w:pStyle w:val="NormalWeb"/>
              <w:numPr>
                <w:ilvl w:val="0"/>
                <w:numId w:val="19"/>
              </w:numPr>
              <w:spacing w:after="240" w:afterAutospacing="0"/>
              <w:rPr>
                <w:rFonts w:ascii="Arial" w:hAnsi="Arial" w:cs="Arial"/>
                <w:sz w:val="20"/>
                <w:szCs w:val="20"/>
              </w:rPr>
            </w:pPr>
            <w:r w:rsidRPr="00B63A90">
              <w:rPr>
                <w:rFonts w:ascii="Arial" w:hAnsi="Arial" w:cs="Arial"/>
                <w:sz w:val="20"/>
                <w:szCs w:val="20"/>
              </w:rPr>
              <w:t>filling of land of more than 500m</w:t>
            </w:r>
            <w:r w:rsidRPr="00B63A90">
              <w:rPr>
                <w:rFonts w:ascii="Arial" w:hAnsi="Arial" w:cs="Arial"/>
                <w:sz w:val="20"/>
                <w:szCs w:val="20"/>
                <w:vertAlign w:val="superscript"/>
              </w:rPr>
              <w:t>3</w:t>
            </w:r>
            <w:r w:rsidRPr="00B63A90">
              <w:rPr>
                <w:rFonts w:ascii="Arial" w:hAnsi="Arial" w:cs="Arial"/>
                <w:sz w:val="20"/>
                <w:szCs w:val="20"/>
              </w:rPr>
              <w:t xml:space="preserve"> of material with an average depth of 0.5m or greater where below the 5m AHD.</w:t>
            </w:r>
          </w:p>
          <w:p w:rsidR="00E52573" w:rsidRPr="00B63A90" w:rsidRDefault="00E52573" w:rsidP="00CF0D5B">
            <w:pPr>
              <w:spacing w:beforeAutospacing="1" w:afterAutospacing="1"/>
              <w:ind w:left="720"/>
              <w:rPr>
                <w:rFonts w:ascii="Arial" w:eastAsia="Times New Roman" w:hAnsi="Arial" w:cs="Arial"/>
                <w:sz w:val="20"/>
                <w:szCs w:val="20"/>
              </w:rPr>
            </w:pPr>
            <w:r w:rsidRPr="00B63A90">
              <w:rPr>
                <w:rFonts w:ascii="Arial" w:eastAsia="Times New Roman" w:hAnsi="Arial" w:cs="Arial"/>
                <w:noProof/>
                <w:sz w:val="20"/>
                <w:szCs w:val="20"/>
              </w:rPr>
              <w:lastRenderedPageBreak/>
              <w:drawing>
                <wp:inline distT="0" distB="0" distL="0" distR="0" wp14:anchorId="12F58307" wp14:editId="6FB05944">
                  <wp:extent cx="4324350" cy="1828800"/>
                  <wp:effectExtent l="0" t="0" r="0" b="0"/>
                  <wp:docPr id="63" name="ID-2693390-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0-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D569B1" w:rsidRPr="00B63A90"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rsidTr="00701F3E">
              <w:trPr>
                <w:tblCellSpacing w:w="15" w:type="dxa"/>
              </w:trPr>
              <w:tc>
                <w:tcPr>
                  <w:tcW w:w="14924" w:type="dxa"/>
                  <w:shd w:val="clear" w:color="auto" w:fill="CCCCCC"/>
                  <w:vAlign w:val="center"/>
                  <w:hideMark/>
                </w:tcPr>
                <w:p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The following are excluded from the native clearing provisions of this planning scheme:</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located within an approved development footprint;</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to remove or reduce the risk vegetation poses to serious personal injury or damage to infrastructure;</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for the purpose of maintenance or works within a registered easement for public infrastructure or drainage purposes;</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in accordance with a bushfire management plan prepared by a suitably qualified person, submitted to and accepted by Council;</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associated with removal of recognised weed species, maintaining existing open pastures and cropping land, windbreaks, lawns or created gardens;</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Grazing of native pasture by stock;</w:t>
                  </w:r>
                </w:p>
                <w:p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Native forest practice where accepted development  under Part 1, 1.7.7 Accepted development.</w:t>
                  </w:r>
                </w:p>
              </w:tc>
            </w:tr>
            <w:tr w:rsidR="00D569B1" w:rsidRPr="00B63A90" w:rsidTr="00701F3E">
              <w:trPr>
                <w:tblCellSpacing w:w="15" w:type="dxa"/>
              </w:trPr>
              <w:tc>
                <w:tcPr>
                  <w:tcW w:w="14924" w:type="dxa"/>
                  <w:shd w:val="clear" w:color="auto" w:fill="CCCCCC"/>
                  <w:vAlign w:val="center"/>
                  <w:hideMark/>
                </w:tcPr>
                <w:p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Definition for native vegetation is located in Schedule 1 Definitions.</w:t>
                  </w:r>
                </w:p>
              </w:tc>
            </w:tr>
          </w:tbl>
          <w:p w:rsidR="00D569B1" w:rsidRPr="00B63A90" w:rsidRDefault="00D569B1" w:rsidP="00CF0D5B">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rsidTr="00701F3E">
              <w:trPr>
                <w:tblCellSpacing w:w="15" w:type="dxa"/>
              </w:trPr>
              <w:tc>
                <w:tcPr>
                  <w:tcW w:w="14924" w:type="dxa"/>
                  <w:shd w:val="clear" w:color="auto" w:fill="CCCCCC"/>
                  <w:vAlign w:val="center"/>
                  <w:hideMark/>
                </w:tcPr>
                <w:p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Native vegetation subject to this requirements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D569B1" w:rsidRPr="00B63A90" w:rsidRDefault="00D569B1" w:rsidP="00D569B1">
                  <w:pPr>
                    <w:rPr>
                      <w:rFonts w:ascii="Arial" w:hAnsi="Arial" w:cs="Arial"/>
                      <w:sz w:val="20"/>
                      <w:szCs w:val="20"/>
                    </w:rPr>
                  </w:pPr>
                  <w:r w:rsidRPr="00B63A90">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D569B1" w:rsidRPr="00B63A90" w:rsidRDefault="00D569B1" w:rsidP="00CF0D5B">
                  <w:pPr>
                    <w:pStyle w:val="NormalWeb"/>
                    <w:rPr>
                      <w:rFonts w:ascii="Arial" w:hAnsi="Arial" w:cs="Arial"/>
                      <w:sz w:val="20"/>
                      <w:szCs w:val="20"/>
                    </w:rPr>
                  </w:pPr>
                  <w:r w:rsidRPr="00B63A90">
                    <w:rPr>
                      <w:rFonts w:ascii="Arial" w:hAnsi="Arial" w:cs="Arial"/>
                      <w:sz w:val="20"/>
                      <w:szCs w:val="20"/>
                    </w:rPr>
                    <w:lastRenderedPageBreak/>
                    <w:t>Editors' Note - When clearing native vegetation within a MSES area, you may still require approval from the State government.</w:t>
                  </w:r>
                </w:p>
              </w:tc>
            </w:tr>
          </w:tbl>
          <w:p w:rsidR="00D569B1" w:rsidRPr="00B63A90" w:rsidRDefault="00D569B1"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RAD60</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Where no suitable land cleared of native vegetation exists, clearing of native vegetation in a High Value Area or Value Area is for the purpose of a new dwelling house</w:t>
            </w:r>
            <w:r w:rsidRPr="00B63A90">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B63A90">
                <w:rPr>
                  <w:rStyle w:val="Hyperlink"/>
                  <w:rFonts w:ascii="Arial" w:hAnsi="Arial" w:cs="Arial"/>
                  <w:sz w:val="20"/>
                  <w:szCs w:val="20"/>
                  <w:vertAlign w:val="superscript"/>
                </w:rPr>
                <w:t>22</w:t>
              </w:r>
            </w:hyperlink>
            <w:r w:rsidRPr="00B63A90">
              <w:rPr>
                <w:rFonts w:ascii="Arial" w:hAnsi="Arial" w:cs="Arial"/>
                <w:sz w:val="20"/>
                <w:szCs w:val="20"/>
                <w:vertAlign w:val="superscript"/>
              </w:rPr>
              <w:t>)</w:t>
            </w:r>
            <w:r w:rsidRPr="00B63A90">
              <w:rPr>
                <w:rFonts w:ascii="Arial" w:hAnsi="Arial" w:cs="Arial"/>
                <w:sz w:val="20"/>
                <w:szCs w:val="20"/>
              </w:rPr>
              <w:t xml:space="preserve"> or extension to an existing dwelling house</w:t>
            </w:r>
            <w:r w:rsidRPr="00B63A90">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B63A90">
                <w:rPr>
                  <w:rStyle w:val="Hyperlink"/>
                  <w:rFonts w:ascii="Arial" w:hAnsi="Arial" w:cs="Arial"/>
                  <w:sz w:val="20"/>
                  <w:szCs w:val="20"/>
                  <w:vertAlign w:val="superscript"/>
                </w:rPr>
                <w:t>22</w:t>
              </w:r>
            </w:hyperlink>
            <w:r w:rsidRPr="00B63A90">
              <w:rPr>
                <w:rFonts w:ascii="Arial" w:hAnsi="Arial" w:cs="Arial"/>
                <w:sz w:val="20"/>
                <w:szCs w:val="20"/>
                <w:vertAlign w:val="superscript"/>
              </w:rPr>
              <w:t>)</w:t>
            </w:r>
            <w:r w:rsidRPr="00B63A90">
              <w:rPr>
                <w:rFonts w:ascii="Arial" w:hAnsi="Arial" w:cs="Arial"/>
                <w:sz w:val="20"/>
                <w:szCs w:val="20"/>
              </w:rPr>
              <w:t xml:space="preserve"> only on lots less than 750m</w:t>
            </w:r>
            <w:r w:rsidRPr="00B63A90">
              <w:rPr>
                <w:rFonts w:ascii="Arial" w:hAnsi="Arial" w:cs="Arial"/>
                <w:sz w:val="20"/>
                <w:szCs w:val="20"/>
                <w:vertAlign w:val="superscript"/>
              </w:rPr>
              <w:t>2</w:t>
            </w:r>
            <w:r w:rsidRPr="00B63A9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rsidTr="00701F3E">
              <w:trPr>
                <w:tblCellSpacing w:w="15" w:type="dxa"/>
              </w:trPr>
              <w:tc>
                <w:tcPr>
                  <w:tcW w:w="13846" w:type="dxa"/>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Editor's note - See in heading above for other uses excluded from native vegetation clearing requirements.</w:t>
                  </w:r>
                </w:p>
              </w:tc>
            </w:tr>
            <w:tr w:rsidR="00E52573" w:rsidRPr="00D569B1" w:rsidTr="00701F3E">
              <w:trPr>
                <w:tblCellSpacing w:w="15" w:type="dxa"/>
              </w:trPr>
              <w:tc>
                <w:tcPr>
                  <w:tcW w:w="13846" w:type="dxa"/>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co-locating all associated activities, infrastructure and access strips;</w:t>
                  </w:r>
                </w:p>
                <w:p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be the least valued area of koala habitat on the site;</w:t>
                  </w:r>
                </w:p>
                <w:p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minimise the footprint of the development envelope area;</w:t>
                  </w:r>
                </w:p>
                <w:p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minimise edge effects to areas external to the development envelope;</w:t>
                  </w:r>
                </w:p>
                <w:p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location and design consideration to ensure koala safety and movement in accordance with the Koala-sensitive Design Guideline and Planning scheme policy – Environmental areas;</w:t>
                  </w:r>
                </w:p>
                <w:p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sufficient area between the development and koala habitat trees to achieve their long-term viability.</w:t>
                  </w:r>
                </w:p>
              </w:tc>
            </w:tr>
          </w:tbl>
          <w:p w:rsidR="00E52573" w:rsidRPr="00D569B1" w:rsidRDefault="00E52573" w:rsidP="00CF0D5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rsidTr="00701F3E">
              <w:trPr>
                <w:tblCellSpacing w:w="15" w:type="dxa"/>
              </w:trPr>
              <w:tc>
                <w:tcPr>
                  <w:tcW w:w="13846" w:type="dxa"/>
                  <w:vAlign w:val="center"/>
                  <w:hideMark/>
                </w:tcPr>
                <w:p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RAD61</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 clearing of native vegetation is to occur within the Value Offset Area MLES - Waterway buffer or  Value Offset Area MLES - Wetland buffer.</w:t>
            </w:r>
          </w:p>
          <w:p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the following:</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located within an approved development footprint;</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within 10m from a lawfully established building reasonably necessary for emergency access or immediately required in response to an accident or emergency;</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to remove or reduce the risk vegetation poses to serious personal injury or damage to infrastructure;</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for the purpose of maintenance or works within a registered easement for public infrastructure or drainage purposes;</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Clearing of native vegetation in accordance with a bushfire management plan prepared by a suitably qualified person, submitted to and accepted by Council;</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associated with removal of recognised weed species, maintaining existing open pastures and cropping land, windbreaks, lawns or created gardens;</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Grazing of native pasture by stock;</w:t>
            </w:r>
          </w:p>
          <w:p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Native forest practice where accepted development under Part 1, 1.7.7 Accepted development.</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D569B1" w:rsidRPr="00B63A90"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rsidTr="00701F3E">
              <w:trPr>
                <w:tblCellSpacing w:w="15" w:type="dxa"/>
              </w:trPr>
              <w:tc>
                <w:tcPr>
                  <w:tcW w:w="14924" w:type="dxa"/>
                  <w:vAlign w:val="center"/>
                  <w:hideMark/>
                </w:tcPr>
                <w:p w:rsidR="00D569B1" w:rsidRPr="00B63A90" w:rsidRDefault="00D569B1" w:rsidP="00CF0D5B">
                  <w:pPr>
                    <w:rPr>
                      <w:rFonts w:ascii="Arial" w:eastAsia="Times New Roman" w:hAnsi="Arial" w:cs="Arial"/>
                      <w:sz w:val="20"/>
                      <w:szCs w:val="20"/>
                    </w:rPr>
                  </w:pPr>
                  <w:r w:rsidRPr="00B63A90">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D569B1" w:rsidRPr="00B63A90" w:rsidRDefault="00D569B1"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RAD62</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is for the preservation, maintenance, repair and restoration of the site, object or building.</w:t>
            </w:r>
          </w:p>
          <w:p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rsidTr="00701F3E">
              <w:trPr>
                <w:tblCellSpacing w:w="15" w:type="dxa"/>
              </w:trPr>
              <w:tc>
                <w:tcPr>
                  <w:tcW w:w="13846" w:type="dxa"/>
                  <w:vAlign w:val="center"/>
                  <w:hideMark/>
                </w:tcPr>
                <w:p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Preservation, maintenance, repair and restoration are defined in Schedule 1 - Definitions</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RAD63</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E52573" w:rsidRPr="00B63A90" w:rsidRDefault="00E52573" w:rsidP="00CF0D5B">
            <w:pPr>
              <w:rPr>
                <w:rFonts w:ascii="Arial" w:eastAsia="Times New Roman" w:hAnsi="Arial" w:cs="Arial"/>
                <w:sz w:val="20"/>
                <w:szCs w:val="20"/>
              </w:rPr>
            </w:pPr>
            <w:r w:rsidRPr="00B63A90">
              <w:rPr>
                <w:rFonts w:ascii="Arial" w:eastAsia="Times New Roman" w:hAnsi="Arial" w:cs="Arial"/>
                <w:sz w:val="20"/>
                <w:szCs w:val="20"/>
              </w:rPr>
              <w:br/>
            </w:r>
          </w:p>
          <w:p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RAD64</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RAD65</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construction of any building;</w:t>
            </w:r>
          </w:p>
          <w:p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laying of overhead or underground services;</w:t>
            </w:r>
          </w:p>
          <w:p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any sealing, paving, soil compaction;</w:t>
            </w:r>
          </w:p>
          <w:p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alteration of more than 75mm to the ground surface prior to work commencing.</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RAD66</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Pruning of a significant tree occurs in accordance with Australian Standard AS 4373-2007 - Pruning of Amenity Trees.</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Overland flow path (refer Overlay map - Overland flow path to determine if the following requirements apply)</w:t>
            </w:r>
          </w:p>
        </w:tc>
        <w:tc>
          <w:tcPr>
            <w:tcW w:w="52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rsidR="00E52573" w:rsidRPr="00B63A90" w:rsidRDefault="00E52573"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RAD67</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does not involve the construction of a building or structure in an Overland flow path area.</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RAD68</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rsidTr="00701F3E">
              <w:trPr>
                <w:tblCellSpacing w:w="15" w:type="dxa"/>
              </w:trPr>
              <w:tc>
                <w:tcPr>
                  <w:tcW w:w="13846" w:type="dxa"/>
                  <w:vAlign w:val="center"/>
                  <w:hideMark/>
                </w:tcPr>
                <w:p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E52573" w:rsidRPr="00B63A90" w:rsidTr="00701F3E">
              <w:trPr>
                <w:tblCellSpacing w:w="15" w:type="dxa"/>
              </w:trPr>
              <w:tc>
                <w:tcPr>
                  <w:tcW w:w="13846" w:type="dxa"/>
                  <w:vAlign w:val="center"/>
                  <w:hideMark/>
                </w:tcPr>
                <w:p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Reporting to be prepared in accordance with Planning scheme policy – Flood hazard, Coastal hazard and Overland flow</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RAD69</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ensures that fencing in an overland flow path area is at least 50% permeable.</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RAD70</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RAD71</w:t>
            </w:r>
          </w:p>
        </w:tc>
        <w:tc>
          <w:tcPr>
            <w:tcW w:w="3355" w:type="pct"/>
            <w:tcBorders>
              <w:top w:val="outset" w:sz="6" w:space="0" w:color="auto"/>
              <w:left w:val="outset" w:sz="6" w:space="0" w:color="auto"/>
              <w:bottom w:val="outset" w:sz="6" w:space="0" w:color="auto"/>
              <w:right w:val="outset" w:sz="6" w:space="0" w:color="auto"/>
            </w:tcBorders>
            <w:vAlign w:val="center"/>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for a Park</w:t>
            </w:r>
            <w:r w:rsidRPr="00B63A90">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63A90">
                <w:rPr>
                  <w:rStyle w:val="Hyperlink"/>
                  <w:rFonts w:ascii="Arial" w:hAnsi="Arial" w:cs="Arial"/>
                  <w:sz w:val="20"/>
                  <w:szCs w:val="20"/>
                  <w:vertAlign w:val="superscript"/>
                </w:rPr>
                <w:t>57</w:t>
              </w:r>
            </w:hyperlink>
            <w:r w:rsidRPr="00B63A90">
              <w:rPr>
                <w:rFonts w:ascii="Arial" w:hAnsi="Arial" w:cs="Arial"/>
                <w:sz w:val="20"/>
                <w:szCs w:val="20"/>
                <w:vertAlign w:val="superscript"/>
              </w:rPr>
              <w:t>)</w:t>
            </w:r>
            <w:r w:rsidRPr="00B63A90">
              <w:rPr>
                <w:rFonts w:ascii="Arial" w:hAnsi="Arial" w:cs="Arial"/>
                <w:sz w:val="20"/>
                <w:szCs w:val="20"/>
              </w:rPr>
              <w:t xml:space="preserve"> ensures that work is provided in accordance with the requirements set out in Appendix B of the Planning scheme policy - Integrated design.</w:t>
            </w: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D569B1" w:rsidRPr="00B63A90"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rsidTr="00701F3E">
              <w:trPr>
                <w:tblCellSpacing w:w="15" w:type="dxa"/>
              </w:trPr>
              <w:tc>
                <w:tcPr>
                  <w:tcW w:w="14924" w:type="dxa"/>
                  <w:vAlign w:val="center"/>
                  <w:hideMark/>
                </w:tcPr>
                <w:p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W1, W2 and W3 waterway and drainage lines, and wetlands are mapped on Schedule 2, Section 2.5 Overlay Maps – Riparian and wetland setbacks.</w:t>
                  </w:r>
                </w:p>
              </w:tc>
            </w:tr>
          </w:tbl>
          <w:p w:rsidR="00D569B1" w:rsidRPr="00B63A90" w:rsidRDefault="00D569B1" w:rsidP="00CF0D5B">
            <w:pPr>
              <w:pStyle w:val="NormalWeb"/>
              <w:rPr>
                <w:rStyle w:val="Strong"/>
                <w:rFonts w:ascii="Arial" w:hAnsi="Arial" w:cs="Arial"/>
                <w:sz w:val="20"/>
                <w:szCs w:val="20"/>
              </w:rPr>
            </w:pPr>
          </w:p>
        </w:tc>
      </w:tr>
      <w:tr w:rsidR="00E52573" w:rsidRPr="00B63A90"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RAD72</w:t>
            </w:r>
          </w:p>
        </w:tc>
        <w:tc>
          <w:tcPr>
            <w:tcW w:w="3355" w:type="pct"/>
            <w:tcBorders>
              <w:top w:val="outset" w:sz="6" w:space="0" w:color="auto"/>
              <w:left w:val="outset" w:sz="6" w:space="0" w:color="auto"/>
              <w:bottom w:val="outset" w:sz="6" w:space="0" w:color="auto"/>
              <w:right w:val="outset" w:sz="6" w:space="0" w:color="auto"/>
            </w:tcBorders>
            <w:hideMark/>
          </w:tcPr>
          <w:p w:rsidR="00E52573" w:rsidRPr="00B63A90" w:rsidRDefault="00E52573" w:rsidP="00CF0D5B">
            <w:pPr>
              <w:pStyle w:val="NormalWeb"/>
              <w:rPr>
                <w:rFonts w:ascii="Arial" w:hAnsi="Arial" w:cs="Arial"/>
                <w:sz w:val="20"/>
                <w:szCs w:val="20"/>
              </w:rPr>
            </w:pPr>
            <w:r w:rsidRPr="00B63A90">
              <w:rPr>
                <w:rFonts w:ascii="Arial" w:hAnsi="Arial" w:cs="Arial"/>
                <w:sz w:val="20"/>
                <w:szCs w:val="20"/>
              </w:rPr>
              <w:t>No development is to occur within:</w:t>
            </w:r>
          </w:p>
          <w:p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50m from top of bank for W1 waterway and drainage line</w:t>
            </w:r>
          </w:p>
          <w:p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30m from top of bank for W2 waterway and drainage line</w:t>
            </w:r>
          </w:p>
          <w:p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20m from top of bank for W3 waterway and drainage line</w:t>
            </w:r>
          </w:p>
          <w:p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rsidTr="00701F3E">
              <w:trPr>
                <w:tblCellSpacing w:w="15" w:type="dxa"/>
              </w:trPr>
              <w:tc>
                <w:tcPr>
                  <w:tcW w:w="13846" w:type="dxa"/>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W1, W2 and W3 waterways and drainage lines, and wetlands are mapped on Schedule 2, Section 2.5 Overlay Maps – Riparian and wetland setbacks.</w:t>
                  </w:r>
                </w:p>
              </w:tc>
            </w:tr>
            <w:tr w:rsidR="00E52573" w:rsidRPr="00D569B1" w:rsidTr="00701F3E">
              <w:trPr>
                <w:tblCellSpacing w:w="15" w:type="dxa"/>
              </w:trPr>
              <w:tc>
                <w:tcPr>
                  <w:tcW w:w="13846" w:type="dxa"/>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lastRenderedPageBreak/>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E52573" w:rsidRPr="00D569B1" w:rsidRDefault="00E52573" w:rsidP="00CF0D5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rsidTr="00701F3E">
              <w:trPr>
                <w:tblCellSpacing w:w="15" w:type="dxa"/>
              </w:trPr>
              <w:tc>
                <w:tcPr>
                  <w:tcW w:w="13846" w:type="dxa"/>
                  <w:vAlign w:val="center"/>
                  <w:hideMark/>
                </w:tcPr>
                <w:p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minimum setback distance applies to the each side of waterway.</w:t>
                  </w:r>
                </w:p>
              </w:tc>
            </w:tr>
          </w:tbl>
          <w:p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rsidR="00E52573" w:rsidRPr="00B63A90" w:rsidRDefault="00E52573" w:rsidP="00CF0D5B">
            <w:pPr>
              <w:pStyle w:val="NormalWeb"/>
              <w:rPr>
                <w:rFonts w:ascii="Arial" w:hAnsi="Arial" w:cs="Arial"/>
                <w:sz w:val="20"/>
                <w:szCs w:val="20"/>
              </w:rPr>
            </w:pPr>
          </w:p>
        </w:tc>
      </w:tr>
      <w:tr w:rsidR="00D569B1" w:rsidRPr="00B63A90"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4"/>
            </w:tblGrid>
            <w:tr w:rsidR="00D569B1" w:rsidRPr="00B63A90" w:rsidTr="00701F3E">
              <w:trPr>
                <w:tblCellSpacing w:w="15" w:type="dxa"/>
              </w:trPr>
              <w:tc>
                <w:tcPr>
                  <w:tcW w:w="14924" w:type="dxa"/>
                  <w:vAlign w:val="center"/>
                  <w:hideMark/>
                </w:tcPr>
                <w:p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rsidR="00D569B1" w:rsidRPr="00B63A90" w:rsidRDefault="00D569B1" w:rsidP="00CF0D5B">
            <w:pPr>
              <w:pStyle w:val="NormalWeb"/>
              <w:rPr>
                <w:rStyle w:val="Strong"/>
                <w:rFonts w:ascii="Arial" w:hAnsi="Arial" w:cs="Arial"/>
                <w:sz w:val="20"/>
                <w:szCs w:val="20"/>
              </w:rPr>
            </w:pPr>
          </w:p>
        </w:tc>
      </w:tr>
    </w:tbl>
    <w:p w:rsidR="00417897" w:rsidRDefault="00123342">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rPr>
          <w:rFonts w:ascii="Arial" w:hAnsi="Arial" w:cs="Arial"/>
          <w:sz w:val="20"/>
          <w:szCs w:val="20"/>
        </w:rPr>
      </w:pPr>
    </w:p>
    <w:p w:rsidR="00D569B1" w:rsidRPr="00D569B1" w:rsidRDefault="00D569B1" w:rsidP="00D569B1">
      <w:pPr>
        <w:tabs>
          <w:tab w:val="left" w:pos="2339"/>
        </w:tabs>
        <w:rPr>
          <w:rFonts w:ascii="Arial" w:hAnsi="Arial" w:cs="Arial"/>
          <w:sz w:val="20"/>
          <w:szCs w:val="20"/>
        </w:rPr>
      </w:pPr>
      <w:r>
        <w:rPr>
          <w:rFonts w:ascii="Arial" w:hAnsi="Arial" w:cs="Arial"/>
          <w:sz w:val="20"/>
          <w:szCs w:val="20"/>
        </w:rPr>
        <w:tab/>
      </w:r>
    </w:p>
    <w:sectPr w:rsidR="00D569B1" w:rsidRPr="00D569B1" w:rsidSect="00303D81">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5D" w:rsidRDefault="0063765D" w:rsidP="00FF283D">
      <w:r>
        <w:separator/>
      </w:r>
    </w:p>
  </w:endnote>
  <w:endnote w:type="continuationSeparator" w:id="0">
    <w:p w:rsidR="0063765D" w:rsidRDefault="0063765D" w:rsidP="00F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B1" w:rsidRDefault="00D5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3D" w:rsidRDefault="00FF283D">
    <w:pPr>
      <w:pStyle w:val="Footer"/>
    </w:pPr>
    <w:r>
      <w:rPr>
        <w:rFonts w:ascii="Arial" w:hAnsi="Arial" w:cs="Arial"/>
        <w:i/>
        <w:iCs/>
        <w:sz w:val="20"/>
        <w:szCs w:val="20"/>
      </w:rPr>
      <w:t xml:space="preserve">MBRC Planning Scheme </w:t>
    </w:r>
    <w:r w:rsidR="00D569B1">
      <w:rPr>
        <w:rFonts w:ascii="Arial" w:hAnsi="Arial" w:cs="Arial"/>
        <w:i/>
        <w:iCs/>
        <w:sz w:val="20"/>
        <w:szCs w:val="20"/>
      </w:rPr>
      <w:t>V</w:t>
    </w:r>
    <w:r w:rsidR="00123342">
      <w:rPr>
        <w:rFonts w:ascii="Arial" w:hAnsi="Arial" w:cs="Arial"/>
        <w:i/>
        <w:iCs/>
        <w:sz w:val="20"/>
        <w:szCs w:val="20"/>
      </w:rPr>
      <w:t>5</w:t>
    </w:r>
    <w:bookmarkStart w:id="0" w:name="_GoBack"/>
    <w:bookmarkEnd w:id="0"/>
    <w:r w:rsidR="00D569B1">
      <w:rPr>
        <w:rFonts w:ascii="Arial" w:hAnsi="Arial" w:cs="Arial"/>
        <w:i/>
        <w:iCs/>
        <w:sz w:val="20"/>
        <w:szCs w:val="20"/>
      </w:rPr>
      <w:t xml:space="preserve"> </w:t>
    </w:r>
    <w:r>
      <w:rPr>
        <w:rFonts w:ascii="Arial" w:hAnsi="Arial" w:cs="Arial"/>
        <w:i/>
        <w:iCs/>
        <w:sz w:val="20"/>
        <w:szCs w:val="20"/>
      </w:rPr>
      <w:t xml:space="preserve">- Redcliffe Kippa - Ring local plan - Open space and recreation precinct - </w:t>
    </w:r>
    <w:r w:rsidRPr="00E50042">
      <w:rPr>
        <w:rFonts w:ascii="Arial" w:hAnsi="Arial" w:cs="Arial"/>
        <w:i/>
        <w:sz w:val="20"/>
        <w:szCs w:val="20"/>
      </w:rPr>
      <w:t>Requi</w:t>
    </w:r>
    <w:r>
      <w:rPr>
        <w:rFonts w:ascii="Arial" w:hAnsi="Arial" w:cs="Arial"/>
        <w:i/>
        <w:sz w:val="20"/>
        <w:szCs w:val="20"/>
      </w:rPr>
      <w:t xml:space="preserve">rements for accepted development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B1" w:rsidRDefault="00D56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5D" w:rsidRDefault="0063765D" w:rsidP="00FF283D">
      <w:r>
        <w:separator/>
      </w:r>
    </w:p>
  </w:footnote>
  <w:footnote w:type="continuationSeparator" w:id="0">
    <w:p w:rsidR="0063765D" w:rsidRDefault="0063765D" w:rsidP="00F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B1" w:rsidRDefault="00D5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B1" w:rsidRDefault="00D56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9B1" w:rsidRDefault="00D56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F7C"/>
    <w:multiLevelType w:val="multilevel"/>
    <w:tmpl w:val="5F500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A041BA"/>
    <w:multiLevelType w:val="multilevel"/>
    <w:tmpl w:val="8EC8F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42FAB"/>
    <w:multiLevelType w:val="multilevel"/>
    <w:tmpl w:val="C50044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C486969"/>
    <w:multiLevelType w:val="multilevel"/>
    <w:tmpl w:val="6164AD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E72D3E"/>
    <w:multiLevelType w:val="multilevel"/>
    <w:tmpl w:val="C4BE3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B53AE"/>
    <w:multiLevelType w:val="multilevel"/>
    <w:tmpl w:val="15AE1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552067"/>
    <w:multiLevelType w:val="multilevel"/>
    <w:tmpl w:val="A5C86F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436EB5"/>
    <w:multiLevelType w:val="multilevel"/>
    <w:tmpl w:val="D80017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AC423D"/>
    <w:multiLevelType w:val="multilevel"/>
    <w:tmpl w:val="D7487C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B869D0"/>
    <w:multiLevelType w:val="multilevel"/>
    <w:tmpl w:val="4D52C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8638CA"/>
    <w:multiLevelType w:val="multilevel"/>
    <w:tmpl w:val="DABAC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9B6555"/>
    <w:multiLevelType w:val="multilevel"/>
    <w:tmpl w:val="93B629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AC2C1A"/>
    <w:multiLevelType w:val="multilevel"/>
    <w:tmpl w:val="2D461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3052BB"/>
    <w:multiLevelType w:val="multilevel"/>
    <w:tmpl w:val="22B4DC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5A1200"/>
    <w:multiLevelType w:val="multilevel"/>
    <w:tmpl w:val="9E0E0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F61009"/>
    <w:multiLevelType w:val="multilevel"/>
    <w:tmpl w:val="B7AE12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C401B1"/>
    <w:multiLevelType w:val="multilevel"/>
    <w:tmpl w:val="0CA6B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971C72"/>
    <w:multiLevelType w:val="multilevel"/>
    <w:tmpl w:val="D92E4CE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156C1C"/>
    <w:multiLevelType w:val="multilevel"/>
    <w:tmpl w:val="67466AE2"/>
    <w:lvl w:ilvl="0">
      <w:start w:val="1"/>
      <w:numFmt w:val="lowerLetter"/>
      <w:lvlText w:val="%1."/>
      <w:lvlJc w:val="left"/>
      <w:pPr>
        <w:tabs>
          <w:tab w:val="num" w:pos="480"/>
        </w:tabs>
        <w:ind w:left="480" w:hanging="360"/>
      </w:pPr>
    </w:lvl>
    <w:lvl w:ilvl="1" w:tentative="1">
      <w:start w:val="1"/>
      <w:numFmt w:val="lowerLetter"/>
      <w:lvlText w:val="%2."/>
      <w:lvlJc w:val="left"/>
      <w:pPr>
        <w:tabs>
          <w:tab w:val="num" w:pos="1200"/>
        </w:tabs>
        <w:ind w:left="1200" w:hanging="360"/>
      </w:pPr>
    </w:lvl>
    <w:lvl w:ilvl="2" w:tentative="1">
      <w:start w:val="1"/>
      <w:numFmt w:val="lowerLetter"/>
      <w:lvlText w:val="%3."/>
      <w:lvlJc w:val="left"/>
      <w:pPr>
        <w:tabs>
          <w:tab w:val="num" w:pos="1920"/>
        </w:tabs>
        <w:ind w:left="1920" w:hanging="360"/>
      </w:pPr>
    </w:lvl>
    <w:lvl w:ilvl="3" w:tentative="1">
      <w:start w:val="1"/>
      <w:numFmt w:val="lowerLetter"/>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Letter"/>
      <w:lvlText w:val="%6."/>
      <w:lvlJc w:val="left"/>
      <w:pPr>
        <w:tabs>
          <w:tab w:val="num" w:pos="4080"/>
        </w:tabs>
        <w:ind w:left="4080" w:hanging="360"/>
      </w:pPr>
    </w:lvl>
    <w:lvl w:ilvl="6" w:tentative="1">
      <w:start w:val="1"/>
      <w:numFmt w:val="lowerLetter"/>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Letter"/>
      <w:lvlText w:val="%9."/>
      <w:lvlJc w:val="left"/>
      <w:pPr>
        <w:tabs>
          <w:tab w:val="num" w:pos="6240"/>
        </w:tabs>
        <w:ind w:left="6240" w:hanging="360"/>
      </w:pPr>
    </w:lvl>
  </w:abstractNum>
  <w:abstractNum w:abstractNumId="20" w15:restartNumberingAfterBreak="0">
    <w:nsid w:val="4F0002D3"/>
    <w:multiLevelType w:val="multilevel"/>
    <w:tmpl w:val="FC98F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7C361F"/>
    <w:multiLevelType w:val="multilevel"/>
    <w:tmpl w:val="08B8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7E62105"/>
    <w:multiLevelType w:val="multilevel"/>
    <w:tmpl w:val="0A5EF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CE2E00"/>
    <w:multiLevelType w:val="multilevel"/>
    <w:tmpl w:val="D6FAA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2F4169"/>
    <w:multiLevelType w:val="multilevel"/>
    <w:tmpl w:val="1D5A6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0"/>
  </w:num>
  <w:num w:numId="3">
    <w:abstractNumId w:val="7"/>
  </w:num>
  <w:num w:numId="4">
    <w:abstractNumId w:val="12"/>
  </w:num>
  <w:num w:numId="5">
    <w:abstractNumId w:val="5"/>
  </w:num>
  <w:num w:numId="6">
    <w:abstractNumId w:val="22"/>
  </w:num>
  <w:num w:numId="7">
    <w:abstractNumId w:val="6"/>
  </w:num>
  <w:num w:numId="8">
    <w:abstractNumId w:val="9"/>
  </w:num>
  <w:num w:numId="9">
    <w:abstractNumId w:val="19"/>
  </w:num>
  <w:num w:numId="10">
    <w:abstractNumId w:val="17"/>
  </w:num>
  <w:num w:numId="11">
    <w:abstractNumId w:val="16"/>
  </w:num>
  <w:num w:numId="12">
    <w:abstractNumId w:val="18"/>
  </w:num>
  <w:num w:numId="13">
    <w:abstractNumId w:val="8"/>
  </w:num>
  <w:num w:numId="14">
    <w:abstractNumId w:val="11"/>
  </w:num>
  <w:num w:numId="15">
    <w:abstractNumId w:val="14"/>
  </w:num>
  <w:num w:numId="16">
    <w:abstractNumId w:val="3"/>
  </w:num>
  <w:num w:numId="17">
    <w:abstractNumId w:val="15"/>
  </w:num>
  <w:num w:numId="18">
    <w:abstractNumId w:val="0"/>
  </w:num>
  <w:num w:numId="19">
    <w:abstractNumId w:val="13"/>
  </w:num>
  <w:num w:numId="20">
    <w:abstractNumId w:val="23"/>
  </w:num>
  <w:num w:numId="21">
    <w:abstractNumId w:val="2"/>
  </w:num>
  <w:num w:numId="22">
    <w:abstractNumId w:val="10"/>
  </w:num>
  <w:num w:numId="23">
    <w:abstractNumId w:val="24"/>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81"/>
    <w:rsid w:val="00123342"/>
    <w:rsid w:val="00167A45"/>
    <w:rsid w:val="00303D81"/>
    <w:rsid w:val="0063765D"/>
    <w:rsid w:val="006F18C7"/>
    <w:rsid w:val="00701F3E"/>
    <w:rsid w:val="00B06B0C"/>
    <w:rsid w:val="00B63A90"/>
    <w:rsid w:val="00D569B1"/>
    <w:rsid w:val="00DB3BA1"/>
    <w:rsid w:val="00DD33C8"/>
    <w:rsid w:val="00E52573"/>
    <w:rsid w:val="00FF2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9F96"/>
  <w15:chartTrackingRefBased/>
  <w15:docId w15:val="{6C5AB4AD-656F-4D37-80AF-D90A13A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81"/>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D81"/>
    <w:rPr>
      <w:color w:val="0000FF"/>
      <w:u w:val="single"/>
    </w:rPr>
  </w:style>
  <w:style w:type="paragraph" w:styleId="NormalWeb">
    <w:name w:val="Normal (Web)"/>
    <w:basedOn w:val="Normal"/>
    <w:uiPriority w:val="99"/>
    <w:semiHidden/>
    <w:unhideWhenUsed/>
    <w:rsid w:val="00303D81"/>
    <w:pPr>
      <w:spacing w:before="100" w:beforeAutospacing="1" w:after="100" w:afterAutospacing="1"/>
    </w:pPr>
  </w:style>
  <w:style w:type="character" w:styleId="Strong">
    <w:name w:val="Strong"/>
    <w:basedOn w:val="DefaultParagraphFont"/>
    <w:uiPriority w:val="22"/>
    <w:qFormat/>
    <w:rsid w:val="00303D81"/>
    <w:rPr>
      <w:b/>
      <w:bCs/>
    </w:rPr>
  </w:style>
  <w:style w:type="character" w:styleId="Emphasis">
    <w:name w:val="Emphasis"/>
    <w:basedOn w:val="DefaultParagraphFont"/>
    <w:uiPriority w:val="20"/>
    <w:qFormat/>
    <w:rsid w:val="00303D81"/>
    <w:rPr>
      <w:i/>
      <w:iCs/>
    </w:rPr>
  </w:style>
  <w:style w:type="paragraph" w:styleId="BalloonText">
    <w:name w:val="Balloon Text"/>
    <w:basedOn w:val="Normal"/>
    <w:link w:val="BalloonTextChar"/>
    <w:uiPriority w:val="99"/>
    <w:semiHidden/>
    <w:unhideWhenUsed/>
    <w:rsid w:val="00303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D81"/>
    <w:rPr>
      <w:rFonts w:ascii="Segoe UI" w:eastAsiaTheme="minorEastAsia" w:hAnsi="Segoe UI" w:cs="Segoe UI"/>
      <w:sz w:val="18"/>
      <w:szCs w:val="18"/>
      <w:lang w:eastAsia="en-AU"/>
    </w:rPr>
  </w:style>
  <w:style w:type="paragraph" w:styleId="ListParagraph">
    <w:name w:val="List Paragraph"/>
    <w:basedOn w:val="Normal"/>
    <w:uiPriority w:val="34"/>
    <w:qFormat/>
    <w:rsid w:val="00E52573"/>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FF283D"/>
    <w:pPr>
      <w:tabs>
        <w:tab w:val="center" w:pos="4513"/>
        <w:tab w:val="right" w:pos="9026"/>
      </w:tabs>
    </w:pPr>
  </w:style>
  <w:style w:type="character" w:customStyle="1" w:styleId="HeaderChar">
    <w:name w:val="Header Char"/>
    <w:basedOn w:val="DefaultParagraphFont"/>
    <w:link w:val="Header"/>
    <w:uiPriority w:val="99"/>
    <w:rsid w:val="00FF283D"/>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FF283D"/>
    <w:pPr>
      <w:tabs>
        <w:tab w:val="center" w:pos="4513"/>
        <w:tab w:val="right" w:pos="9026"/>
      </w:tabs>
    </w:pPr>
  </w:style>
  <w:style w:type="character" w:customStyle="1" w:styleId="FooterChar">
    <w:name w:val="Footer Char"/>
    <w:basedOn w:val="DefaultParagraphFont"/>
    <w:link w:val="Footer"/>
    <w:uiPriority w:val="99"/>
    <w:rsid w:val="00FF283D"/>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1.jp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eader" Target="head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2019-12-10T04:06:00Z</dcterms:created>
  <dcterms:modified xsi:type="dcterms:W3CDTF">2021-10-13T00:58:00Z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A19455792</vt:lpwstr>
  </property>
  <property fmtid="{D5CDD505-2E9C-101B-9397-08002B2CF9AE}" pid="4" name="Objective-Title">
    <vt:lpwstr>7.2.1.8 Open space and recreation precinct - RADs - UPDATED</vt:lpwstr>
  </property>
  <property fmtid="{D5CDD505-2E9C-101B-9397-08002B2CF9AE}" pid="5" name="Objective-Comment">
    <vt:lpwstr/>
  </property>
  <property fmtid="{D5CDD505-2E9C-101B-9397-08002B2CF9AE}" pid="6" name="Objective-CreationStamp">
    <vt:filetime>2019-12-10T06:10:34Z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2020-01-06T05:19:17Z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