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255"/>
        <w:gridCol w:w="5136"/>
        <w:gridCol w:w="2291"/>
        <w:gridCol w:w="2716"/>
      </w:tblGrid>
      <w:tr w:rsidR="00392A79" w:rsidRPr="00392A79" w:rsidTr="003E5B10">
        <w:trPr>
          <w:trHeight w:val="376"/>
          <w:tblCellSpacing w:w="15" w:type="dxa"/>
        </w:trPr>
        <w:tc>
          <w:tcPr>
            <w:tcW w:w="4981" w:type="pct"/>
            <w:gridSpan w:val="4"/>
            <w:tcBorders>
              <w:top w:val="nil"/>
              <w:left w:val="nil"/>
              <w:bottom w:val="nil"/>
              <w:right w:val="nil"/>
            </w:tcBorders>
            <w:shd w:val="clear" w:color="auto" w:fill="CCCCCC"/>
            <w:vAlign w:val="center"/>
            <w:hideMark/>
          </w:tcPr>
          <w:p w:rsidR="00392A79" w:rsidRPr="00392A79" w:rsidRDefault="00392A79" w:rsidP="00392A79">
            <w:pPr>
              <w:spacing w:after="0" w:line="240" w:lineRule="auto"/>
              <w:jc w:val="center"/>
              <w:rPr>
                <w:rFonts w:ascii="Arial" w:eastAsia="Times New Roman" w:hAnsi="Arial" w:cs="Arial"/>
                <w:b/>
                <w:bCs/>
                <w:sz w:val="20"/>
                <w:szCs w:val="20"/>
                <w:lang w:eastAsia="en-AU"/>
              </w:rPr>
            </w:pPr>
            <w:r w:rsidRPr="00392A79">
              <w:rPr>
                <w:rFonts w:ascii="Arial" w:eastAsia="Times New Roman" w:hAnsi="Arial" w:cs="Arial"/>
                <w:b/>
                <w:bCs/>
                <w:sz w:val="20"/>
                <w:szCs w:val="20"/>
                <w:lang w:eastAsia="en-AU"/>
              </w:rPr>
              <w:t>Table 7.2.3.2.9.1 Assessable development - Specialised centre sub-precinct</w:t>
            </w:r>
          </w:p>
        </w:tc>
      </w:tr>
      <w:tr w:rsidR="00392A79"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color w:val="000000"/>
                <w:sz w:val="20"/>
                <w:szCs w:val="20"/>
                <w:lang w:eastAsia="en-AU"/>
              </w:rPr>
            </w:pPr>
            <w:r w:rsidRPr="00392A79">
              <w:rPr>
                <w:rFonts w:ascii="Arial" w:eastAsiaTheme="minorEastAsia" w:hAnsi="Arial" w:cs="Arial"/>
                <w:b/>
                <w:bCs/>
                <w:color w:val="000000"/>
                <w:sz w:val="20"/>
                <w:szCs w:val="20"/>
                <w:lang w:eastAsia="en-AU"/>
              </w:rPr>
              <w:t>Performance outcomes</w:t>
            </w:r>
          </w:p>
        </w:tc>
        <w:tc>
          <w:tcPr>
            <w:tcW w:w="1658" w:type="pct"/>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color w:val="000000"/>
                <w:sz w:val="20"/>
                <w:szCs w:val="20"/>
                <w:lang w:eastAsia="en-AU"/>
              </w:rPr>
            </w:pPr>
            <w:r w:rsidRPr="00392A79">
              <w:rPr>
                <w:rFonts w:ascii="Arial" w:eastAsiaTheme="minorEastAsia" w:hAnsi="Arial" w:cs="Arial"/>
                <w:b/>
                <w:bCs/>
                <w:color w:val="000000"/>
                <w:sz w:val="20"/>
                <w:szCs w:val="20"/>
                <w:lang w:eastAsia="en-AU"/>
              </w:rPr>
              <w:t>Examples that achieve aspects of the Performance Outcome</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color w:val="000000"/>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color w:val="000000"/>
                <w:sz w:val="20"/>
                <w:szCs w:val="20"/>
                <w:lang w:eastAsia="en-AU"/>
              </w:rPr>
            </w:pPr>
          </w:p>
        </w:tc>
      </w:tr>
      <w:tr w:rsidR="00392A79" w:rsidRPr="00392A79" w:rsidTr="00392A79">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jc w:val="center"/>
              <w:rPr>
                <w:rFonts w:ascii="Arial" w:eastAsiaTheme="minorEastAsia" w:hAnsi="Arial" w:cs="Arial"/>
                <w:b/>
                <w:bCs/>
                <w:color w:val="000000"/>
                <w:sz w:val="20"/>
                <w:szCs w:val="20"/>
                <w:lang w:eastAsia="en-AU"/>
              </w:rPr>
            </w:pPr>
            <w:r w:rsidRPr="00392A79">
              <w:rPr>
                <w:rFonts w:ascii="Arial" w:eastAsiaTheme="minorEastAsia" w:hAnsi="Arial" w:cs="Arial"/>
                <w:b/>
                <w:bCs/>
                <w:color w:val="000000"/>
                <w:sz w:val="20"/>
                <w:szCs w:val="20"/>
                <w:lang w:eastAsia="en-AU"/>
              </w:rPr>
              <w:t>General criteria</w:t>
            </w: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color w:val="000000"/>
                <w:sz w:val="20"/>
                <w:szCs w:val="20"/>
                <w:lang w:eastAsia="en-AU"/>
              </w:rPr>
            </w:pPr>
            <w:r w:rsidRPr="00392A79">
              <w:rPr>
                <w:rFonts w:ascii="Arial" w:eastAsiaTheme="minorEastAsia" w:hAnsi="Arial" w:cs="Arial"/>
                <w:b/>
                <w:bCs/>
                <w:color w:val="000000"/>
                <w:sz w:val="20"/>
                <w:szCs w:val="20"/>
                <w:lang w:eastAsia="en-AU"/>
              </w:rPr>
              <w:t>Centre network and function</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color w:val="000000"/>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color w:val="000000"/>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in the Specialised centre sub-precinct:</w:t>
            </w:r>
          </w:p>
          <w:p w:rsidR="00392A79" w:rsidRPr="00392A79" w:rsidRDefault="00392A79" w:rsidP="00502327">
            <w:pPr>
              <w:numPr>
                <w:ilvl w:val="0"/>
                <w:numId w:val="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of a size, scale, range of services and location commensurate with the role and function of this sub-precinct in the centres network;</w:t>
            </w:r>
          </w:p>
          <w:p w:rsidR="00392A79" w:rsidRPr="00392A79" w:rsidRDefault="00392A79" w:rsidP="00502327">
            <w:pPr>
              <w:numPr>
                <w:ilvl w:val="0"/>
                <w:numId w:val="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provides for bulky retail and commercial activities.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Refer to Table 7.2.3.</w:t>
                  </w:r>
                  <w:r w:rsidR="0016443B">
                    <w:rPr>
                      <w:rFonts w:ascii="Arial" w:eastAsiaTheme="minorEastAsia" w:hAnsi="Arial" w:cs="Arial"/>
                      <w:sz w:val="18"/>
                      <w:szCs w:val="20"/>
                      <w:lang w:eastAsia="en-AU"/>
                    </w:rPr>
                    <w:t>4</w:t>
                  </w:r>
                  <w:r w:rsidRPr="0009358B">
                    <w:rPr>
                      <w:rFonts w:ascii="Arial" w:eastAsiaTheme="minorEastAsia" w:hAnsi="Arial" w:cs="Arial"/>
                      <w:sz w:val="18"/>
                      <w:szCs w:val="20"/>
                      <w:lang w:eastAsia="en-AU"/>
                    </w:rPr>
                    <w:t xml:space="preserve"> Caboolture West - centres network.</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Active frontage</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229"/>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Buildings and individual tenancies address street frontages and other areas of pedestrian movement.</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Setbacks</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Side and rear setbacks are of a dimension to:</w:t>
            </w:r>
          </w:p>
          <w:p w:rsidR="00392A79" w:rsidRPr="00392A79" w:rsidRDefault="00392A79" w:rsidP="00502327">
            <w:pPr>
              <w:numPr>
                <w:ilvl w:val="0"/>
                <w:numId w:val="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cater for required openings, the location of loading docks and landscaped buffers etc.; </w:t>
            </w:r>
          </w:p>
          <w:p w:rsidR="00392A79" w:rsidRPr="00392A79" w:rsidRDefault="00392A79" w:rsidP="00502327">
            <w:pPr>
              <w:numPr>
                <w:ilvl w:val="0"/>
                <w:numId w:val="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protect the amenity of adjoining sensitive land uses.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Site area</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317"/>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development has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area and dimensions to accommodate required buildings and structures, vehicular access, manoeuvring and parking and landscaping. </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 </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Building height</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370"/>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height of buildings </w:t>
            </w:r>
            <w:proofErr w:type="gramStart"/>
            <w:r w:rsidRPr="00392A79">
              <w:rPr>
                <w:rFonts w:ascii="Arial" w:eastAsiaTheme="minorEastAsia" w:hAnsi="Arial" w:cs="Arial"/>
                <w:sz w:val="20"/>
                <w:szCs w:val="20"/>
                <w:lang w:eastAsia="en-AU"/>
              </w:rPr>
              <w:t>reflect</w:t>
            </w:r>
            <w:proofErr w:type="gramEnd"/>
            <w:r w:rsidRPr="00392A79">
              <w:rPr>
                <w:rFonts w:ascii="Arial" w:eastAsiaTheme="minorEastAsia" w:hAnsi="Arial" w:cs="Arial"/>
                <w:sz w:val="20"/>
                <w:szCs w:val="20"/>
                <w:lang w:eastAsia="en-AU"/>
              </w:rPr>
              <w:t xml:space="preserve"> the individual character of the centre.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Building heights do not to exceed that mapped on Neighbourhood development plan map - Building heights.</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Built form</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Awnings are provided at the ground floor fronting pedestrian footpaths.  Awnings:</w:t>
            </w:r>
          </w:p>
          <w:p w:rsidR="00392A79" w:rsidRPr="00392A79" w:rsidRDefault="00392A79" w:rsidP="00502327">
            <w:pPr>
              <w:numPr>
                <w:ilvl w:val="0"/>
                <w:numId w:val="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 adequate protection for pedestrians from solar exposure and inclement weather;</w:t>
            </w:r>
          </w:p>
          <w:p w:rsidR="00392A79" w:rsidRPr="00392A79" w:rsidRDefault="00392A79" w:rsidP="00502327">
            <w:pPr>
              <w:numPr>
                <w:ilvl w:val="0"/>
                <w:numId w:val="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integrated with the design of the building and the form and function of the street;</w:t>
            </w:r>
          </w:p>
          <w:p w:rsidR="00392A79" w:rsidRPr="00392A79" w:rsidRDefault="00392A79" w:rsidP="00502327">
            <w:pPr>
              <w:numPr>
                <w:ilvl w:val="0"/>
                <w:numId w:val="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do not compromise the provision of street trees and signage;</w:t>
            </w:r>
          </w:p>
          <w:p w:rsidR="00392A79" w:rsidRPr="00392A79" w:rsidRDefault="00392A79" w:rsidP="00502327">
            <w:pPr>
              <w:numPr>
                <w:ilvl w:val="0"/>
                <w:numId w:val="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ensure the safety of pedestrians and vehicles.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Buildings incorporate an awning that:</w:t>
            </w:r>
          </w:p>
          <w:p w:rsidR="00392A79" w:rsidRPr="00392A79" w:rsidRDefault="00392A79" w:rsidP="00502327">
            <w:pPr>
              <w:numPr>
                <w:ilvl w:val="0"/>
                <w:numId w:val="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cantilevered;</w:t>
            </w:r>
          </w:p>
          <w:p w:rsidR="00392A79" w:rsidRPr="00392A79" w:rsidRDefault="00392A79" w:rsidP="00502327">
            <w:pPr>
              <w:numPr>
                <w:ilvl w:val="0"/>
                <w:numId w:val="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extends from the face of the building;</w:t>
            </w:r>
          </w:p>
          <w:p w:rsidR="00392A79" w:rsidRPr="00392A79" w:rsidRDefault="00392A79" w:rsidP="00502327">
            <w:pPr>
              <w:numPr>
                <w:ilvl w:val="0"/>
                <w:numId w:val="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has a minimum height of 3.2m and not more than 4.2m above pavement level;</w:t>
            </w:r>
          </w:p>
          <w:p w:rsidR="00392A79" w:rsidRPr="00392A79" w:rsidRDefault="00392A79" w:rsidP="00502327">
            <w:pPr>
              <w:numPr>
                <w:ilvl w:val="0"/>
                <w:numId w:val="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does not extend past a vertical plane of 1.5m inside the kerb line to allow for street trees;</w:t>
            </w:r>
          </w:p>
          <w:p w:rsidR="00392A79" w:rsidRPr="00392A79" w:rsidRDefault="00392A79" w:rsidP="00502327">
            <w:pPr>
              <w:numPr>
                <w:ilvl w:val="0"/>
                <w:numId w:val="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aligns with adjoining buildings to provide continuous shelter where possible.</w:t>
            </w:r>
          </w:p>
          <w:p w:rsidR="00392A79" w:rsidRPr="00392A79" w:rsidRDefault="00392A79" w:rsidP="0009358B">
            <w:pPr>
              <w:spacing w:after="0" w:line="240" w:lineRule="auto"/>
              <w:jc w:val="center"/>
              <w:rPr>
                <w:rFonts w:ascii="Arial" w:eastAsia="Times New Roman" w:hAnsi="Arial" w:cs="Arial"/>
                <w:sz w:val="20"/>
                <w:szCs w:val="20"/>
                <w:lang w:eastAsia="en-AU"/>
              </w:rPr>
            </w:pPr>
            <w:r w:rsidRPr="00392A79">
              <w:rPr>
                <w:rFonts w:ascii="Arial" w:eastAsia="Times New Roman" w:hAnsi="Arial" w:cs="Arial"/>
                <w:b/>
                <w:bCs/>
                <w:sz w:val="20"/>
                <w:szCs w:val="20"/>
                <w:lang w:eastAsia="en-AU"/>
              </w:rPr>
              <w:t>Figure - Awning requirements</w:t>
            </w:r>
          </w:p>
          <w:p w:rsidR="00392A79" w:rsidRPr="00392A79" w:rsidRDefault="00392A79" w:rsidP="0009358B">
            <w:pPr>
              <w:spacing w:after="0" w:line="240" w:lineRule="auto"/>
              <w:jc w:val="center"/>
              <w:rPr>
                <w:rFonts w:ascii="Arial" w:eastAsia="Times New Roman" w:hAnsi="Arial" w:cs="Arial"/>
                <w:sz w:val="20"/>
                <w:szCs w:val="20"/>
                <w:lang w:eastAsia="en-AU"/>
              </w:rPr>
            </w:pPr>
            <w:r w:rsidRPr="00392A79">
              <w:rPr>
                <w:rFonts w:ascii="Arial" w:eastAsia="Times New Roman" w:hAnsi="Arial" w:cs="Arial"/>
                <w:noProof/>
                <w:sz w:val="20"/>
                <w:szCs w:val="20"/>
                <w:lang w:eastAsia="en-AU"/>
              </w:rPr>
              <w:lastRenderedPageBreak/>
              <w:drawing>
                <wp:inline distT="0" distB="0" distL="0" distR="0" wp14:anchorId="6923D270" wp14:editId="1E4CEF9A">
                  <wp:extent cx="2876550" cy="2019300"/>
                  <wp:effectExtent l="0" t="0" r="0" b="0"/>
                  <wp:docPr id="150" name="ID-2693407-584297"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7-584297" descr="awning requireme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buildings exhibit a high standard of design and construction, which:</w:t>
            </w:r>
          </w:p>
          <w:p w:rsidR="00392A79" w:rsidRPr="00392A79" w:rsidRDefault="00392A79" w:rsidP="00502327">
            <w:pPr>
              <w:numPr>
                <w:ilvl w:val="0"/>
                <w:numId w:val="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adds visual interest to the streetscape (e.g. variation in materials, patterns, textures and colours, a consistent building line, blank walls that are visible from public places are treated to not negatively impact the surrounding amenity);</w:t>
            </w:r>
          </w:p>
          <w:p w:rsidR="00392A79" w:rsidRPr="00392A79" w:rsidRDefault="00392A79" w:rsidP="00502327">
            <w:pPr>
              <w:numPr>
                <w:ilvl w:val="0"/>
                <w:numId w:val="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contributes to a safe environment (e.g. </w:t>
            </w:r>
            <w:proofErr w:type="gramStart"/>
            <w:r w:rsidRPr="00392A79">
              <w:rPr>
                <w:rFonts w:ascii="Arial" w:eastAsiaTheme="minorEastAsia" w:hAnsi="Arial" w:cs="Arial"/>
                <w:sz w:val="20"/>
                <w:szCs w:val="20"/>
                <w:lang w:eastAsia="en-AU"/>
              </w:rPr>
              <w:t>through the use of</w:t>
            </w:r>
            <w:proofErr w:type="gramEnd"/>
            <w:r w:rsidRPr="00392A79">
              <w:rPr>
                <w:rFonts w:ascii="Arial" w:eastAsiaTheme="minorEastAsia" w:hAnsi="Arial" w:cs="Arial"/>
                <w:sz w:val="20"/>
                <w:szCs w:val="20"/>
                <w:lang w:eastAsia="en-AU"/>
              </w:rPr>
              <w:t xml:space="preserve"> lighting and not resulting in concealed recesses or potential entrapment areas);</w:t>
            </w:r>
          </w:p>
          <w:p w:rsidR="00392A79" w:rsidRPr="00392A79" w:rsidRDefault="00392A79" w:rsidP="00502327">
            <w:pPr>
              <w:numPr>
                <w:ilvl w:val="0"/>
                <w:numId w:val="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incorporates architectural features within the building facade at the street level to create human scale.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Building entrances:</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readily identifiable from the road frontage;</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add visual interest to the streetscape;</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are designed to limit opportunities for concealment;</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located and oriented to favour active and public transport usage by connecting to pedestrian footpaths on the street frontage and adjoining sites;</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Include footpaths that connect with adjoining sites;</w:t>
            </w:r>
          </w:p>
          <w:p w:rsidR="00392A79" w:rsidRPr="00392A79" w:rsidRDefault="00392A79" w:rsidP="00502327">
            <w:pPr>
              <w:numPr>
                <w:ilvl w:val="0"/>
                <w:numId w:val="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 a dedicated, sealed pedestrian footpath between the street frontage and the building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 design provisions for footpaths outlined in Planning scheme policy - Integrated design may assist in demonstrating compliance with this Performance Outcome.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Car parking</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provision of car parking spaces is:</w:t>
            </w:r>
          </w:p>
          <w:p w:rsidR="00392A79" w:rsidRPr="00392A79" w:rsidRDefault="00392A79" w:rsidP="00502327">
            <w:pPr>
              <w:numPr>
                <w:ilvl w:val="0"/>
                <w:numId w:val="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appropriate for the use;</w:t>
            </w:r>
          </w:p>
          <w:p w:rsidR="00392A79" w:rsidRPr="00392A79" w:rsidRDefault="00392A79" w:rsidP="00502327">
            <w:pPr>
              <w:numPr>
                <w:ilvl w:val="0"/>
                <w:numId w:val="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Refer to Planning scheme policy - Integrated transport assessment for guidance on how to achieve compliance with this outcome.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Car parking is provided in accordance with Schedule 7 - Car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above rates exclude car parking spaces for people with a disability required by Disability Discrimination Act 1992 or the relevant disability discrimination legislation and standards.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Car parking is designed to avoid the visual impact of large areas of surface car parking on the streetscape.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1C4FD9">
                    <w:rPr>
                      <w:rFonts w:ascii="Arial" w:eastAsia="Times New Roman" w:hAnsi="Arial" w:cs="Arial"/>
                      <w:sz w:val="18"/>
                      <w:szCs w:val="18"/>
                      <w:lang w:eastAsia="en-AU"/>
                    </w:rPr>
                    <w:lastRenderedPageBreak/>
                    <w:t>Note - Refer to Planning scheme policy - Integrated design for details and examples of on-street parking.</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design of car parking areas:</w:t>
            </w:r>
          </w:p>
          <w:p w:rsidR="00392A79" w:rsidRPr="00392A79" w:rsidRDefault="00392A79" w:rsidP="00502327">
            <w:pPr>
              <w:numPr>
                <w:ilvl w:val="0"/>
                <w:numId w:val="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does not impact on the safety of the external road network;</w:t>
            </w:r>
          </w:p>
          <w:p w:rsidR="00392A79" w:rsidRPr="00392A79" w:rsidRDefault="00392A79" w:rsidP="00502327">
            <w:pPr>
              <w:numPr>
                <w:ilvl w:val="0"/>
                <w:numId w:val="8"/>
              </w:numPr>
              <w:spacing w:before="100" w:beforeAutospacing="1" w:after="100" w:afterAutospacing="1" w:line="240" w:lineRule="auto"/>
              <w:rPr>
                <w:rFonts w:ascii="Arial" w:eastAsiaTheme="minorEastAsia" w:hAnsi="Arial" w:cs="Arial"/>
                <w:sz w:val="20"/>
                <w:szCs w:val="20"/>
                <w:lang w:eastAsia="en-AU"/>
              </w:rPr>
            </w:pPr>
            <w:proofErr w:type="gramStart"/>
            <w:r w:rsidRPr="00392A79">
              <w:rPr>
                <w:rFonts w:ascii="Arial" w:eastAsiaTheme="minorEastAsia" w:hAnsi="Arial" w:cs="Arial"/>
                <w:sz w:val="20"/>
                <w:szCs w:val="20"/>
                <w:lang w:eastAsia="en-AU"/>
              </w:rPr>
              <w:t>ensures the safety of pedestrians at all times</w:t>
            </w:r>
            <w:proofErr w:type="gramEnd"/>
            <w:r w:rsidRPr="00392A79">
              <w:rPr>
                <w:rFonts w:ascii="Arial" w:eastAsiaTheme="minorEastAsia" w:hAnsi="Arial" w:cs="Arial"/>
                <w:sz w:val="20"/>
                <w:szCs w:val="20"/>
                <w:lang w:eastAsia="en-AU"/>
              </w:rPr>
              <w:t>;</w:t>
            </w:r>
          </w:p>
          <w:p w:rsidR="00392A79" w:rsidRPr="00392A79" w:rsidRDefault="00392A79" w:rsidP="00502327">
            <w:pPr>
              <w:numPr>
                <w:ilvl w:val="0"/>
                <w:numId w:val="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ensures the safe movement of vehicles within the site;</w:t>
            </w:r>
          </w:p>
          <w:p w:rsidR="00392A79" w:rsidRPr="00392A79" w:rsidRDefault="00392A79" w:rsidP="00502327">
            <w:pPr>
              <w:numPr>
                <w:ilvl w:val="0"/>
                <w:numId w:val="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interconnects with car parking areas on adjoining sites wherever possible.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E12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car parking areas are designed and constructed in accordance with Australian Standard AS2890.1 Parking facilities Part 1: Off-</w:t>
            </w:r>
            <w:proofErr w:type="gramStart"/>
            <w:r w:rsidRPr="00392A79">
              <w:rPr>
                <w:rFonts w:ascii="Arial" w:eastAsiaTheme="minorEastAsia" w:hAnsi="Arial" w:cs="Arial"/>
                <w:sz w:val="20"/>
                <w:szCs w:val="20"/>
                <w:lang w:eastAsia="en-AU"/>
              </w:rPr>
              <w:t>street car</w:t>
            </w:r>
            <w:proofErr w:type="gramEnd"/>
            <w:r w:rsidRPr="00392A79">
              <w:rPr>
                <w:rFonts w:ascii="Arial" w:eastAsiaTheme="minorEastAsia" w:hAnsi="Arial" w:cs="Arial"/>
                <w:sz w:val="20"/>
                <w:szCs w:val="20"/>
                <w:lang w:eastAsia="en-AU"/>
              </w:rPr>
              <w:t xml:space="preserve"> parking.</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safety and efficiency of pedestrian movement is prioritised in the design of car parking areas through providing pedestrian paths in car parking areas that are:</w:t>
            </w:r>
          </w:p>
          <w:p w:rsidR="00392A79" w:rsidRPr="00392A79" w:rsidRDefault="00392A79" w:rsidP="00502327">
            <w:pPr>
              <w:numPr>
                <w:ilvl w:val="0"/>
                <w:numId w:val="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located along the most direct pedestrian routes between building entrances, car parks and adjoining uses;</w:t>
            </w:r>
          </w:p>
          <w:p w:rsidR="00392A79" w:rsidRPr="00392A79" w:rsidRDefault="00392A79" w:rsidP="00502327">
            <w:pPr>
              <w:numPr>
                <w:ilvl w:val="0"/>
                <w:numId w:val="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protected from vehicle intrusion </w:t>
            </w:r>
            <w:proofErr w:type="gramStart"/>
            <w:r w:rsidRPr="00392A79">
              <w:rPr>
                <w:rFonts w:ascii="Arial" w:eastAsiaTheme="minorEastAsia" w:hAnsi="Arial" w:cs="Arial"/>
                <w:sz w:val="20"/>
                <w:szCs w:val="20"/>
                <w:lang w:eastAsia="en-AU"/>
              </w:rPr>
              <w:t>through the use of</w:t>
            </w:r>
            <w:proofErr w:type="gramEnd"/>
            <w:r w:rsidRPr="00392A79">
              <w:rPr>
                <w:rFonts w:ascii="Arial" w:eastAsiaTheme="minorEastAsia" w:hAnsi="Arial" w:cs="Arial"/>
                <w:sz w:val="20"/>
                <w:szCs w:val="20"/>
                <w:lang w:eastAsia="en-AU"/>
              </w:rPr>
              <w:t xml:space="preserve"> physical and visual separation (e.g. wheel stops, trees etc);</w:t>
            </w:r>
          </w:p>
          <w:p w:rsidR="00392A79" w:rsidRPr="00392A79" w:rsidRDefault="00392A79" w:rsidP="00502327">
            <w:pPr>
              <w:numPr>
                <w:ilvl w:val="0"/>
                <w:numId w:val="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of a width to allow safe and efficient access for prams and wheelchairs.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Loading and servicing</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Loading and servicing areas:</w:t>
            </w:r>
          </w:p>
          <w:p w:rsidR="00392A79" w:rsidRPr="00392A79" w:rsidRDefault="00392A79" w:rsidP="00502327">
            <w:pPr>
              <w:numPr>
                <w:ilvl w:val="0"/>
                <w:numId w:val="1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not visible from any street frontage;</w:t>
            </w:r>
          </w:p>
          <w:p w:rsidR="00392A79" w:rsidRPr="00392A79" w:rsidRDefault="00392A79" w:rsidP="00502327">
            <w:pPr>
              <w:numPr>
                <w:ilvl w:val="0"/>
                <w:numId w:val="1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integrated into the design of the building;</w:t>
            </w:r>
          </w:p>
          <w:p w:rsidR="00392A79" w:rsidRPr="00392A79" w:rsidRDefault="00392A79" w:rsidP="00502327">
            <w:pPr>
              <w:numPr>
                <w:ilvl w:val="0"/>
                <w:numId w:val="1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include screening and buffers to reduce negative impacts on adjoining sensitive land uses;</w:t>
            </w:r>
          </w:p>
          <w:p w:rsidR="00392A79" w:rsidRPr="00392A79" w:rsidRDefault="00392A79" w:rsidP="00502327">
            <w:pPr>
              <w:numPr>
                <w:ilvl w:val="0"/>
                <w:numId w:val="1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Refer to Planning scheme policy - Centre and neighbourhood hub design.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Waste</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shd w:val="clear" w:color="auto" w:fill="FFFFFF"/>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Bins and bin storage area/s are designed, located and managed to prevent amenity impacts on the locality.</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shd w:val="clear" w:color="auto" w:fill="FFFFFF"/>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E15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is designed to meet the criteria in the Planning scheme policy - Waste and is demonstrated in a waste management program.</w:t>
            </w:r>
          </w:p>
        </w:tc>
        <w:tc>
          <w:tcPr>
            <w:tcW w:w="738" w:type="pct"/>
            <w:tcBorders>
              <w:top w:val="outset" w:sz="6" w:space="0" w:color="auto"/>
              <w:left w:val="outset" w:sz="6" w:space="0" w:color="auto"/>
              <w:bottom w:val="outset" w:sz="6" w:space="0" w:color="auto"/>
              <w:right w:val="outset" w:sz="6" w:space="0" w:color="auto"/>
            </w:tcBorders>
            <w:shd w:val="clear" w:color="auto" w:fill="FFFFFF"/>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FFFFFF"/>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Landscaping and fencing</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On-site landscaping:</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incorporated into the design of the development;</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reduces the dominance of car parking and servicing areas from the street frontage;</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incorporates shade trees in car parking areas;</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retains mature trees wherever possible;</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contributes to quality public spaces and the microclimate by providing shelter and shade;</w:t>
            </w:r>
          </w:p>
          <w:p w:rsidR="00392A79" w:rsidRPr="00392A79" w:rsidRDefault="00392A79" w:rsidP="00502327">
            <w:pPr>
              <w:numPr>
                <w:ilvl w:val="0"/>
                <w:numId w:val="1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maintains the achievement of active frontages and sightlines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All landscaping is to accord with Planning scheme policy - Integrated design.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is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Surveillance and overlooking are maintained between the road frontage and the main building line.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is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Lighting</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Lighting is designed to provide adequate levels of illumination to public and communal spaces to maximise safety while minimising adverse impacts on residential and other sensitive land uses. </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Amenity</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PO19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amenity of the area and adjacent sensitive land uses are protected from the impacts of dust, odour, chemicals and </w:t>
            </w:r>
            <w:proofErr w:type="gramStart"/>
            <w:r w:rsidRPr="00392A79">
              <w:rPr>
                <w:rFonts w:ascii="Arial" w:eastAsiaTheme="minorEastAsia" w:hAnsi="Arial" w:cs="Arial"/>
                <w:sz w:val="20"/>
                <w:szCs w:val="20"/>
                <w:lang w:eastAsia="en-AU"/>
              </w:rPr>
              <w:t>other</w:t>
            </w:r>
            <w:proofErr w:type="gramEnd"/>
            <w:r w:rsidRPr="00392A79">
              <w:rPr>
                <w:rFonts w:ascii="Arial" w:eastAsiaTheme="minorEastAsia" w:hAnsi="Arial" w:cs="Arial"/>
                <w:sz w:val="20"/>
                <w:szCs w:val="20"/>
                <w:lang w:eastAsia="en-AU"/>
              </w:rPr>
              <w:t xml:space="preserve"> nuisance.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rHeight w:val="345"/>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Noise</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Noise generating uses do not adversely affect existing or potential noise sensitive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The use of walls, barriers or fences that are visible from or adjoin a road or public area are not appropriate noise attenuation measures unless adjoining a motorway, arterial road or rail line.</w:t>
                  </w:r>
                </w:p>
              </w:tc>
            </w:tr>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A noise impact assessment may be required to demonstrate compliance with this PO. Noise impact assessments are to be prepared in accordance with Planning scheme policy - Noise.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 </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rHeight w:val="1189"/>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Sensitive land uses are provided with an appropriate acoustic environment within designated external private outdoor living spaces and internal areas while:</w:t>
            </w:r>
          </w:p>
          <w:p w:rsidR="00392A79" w:rsidRPr="00392A79" w:rsidRDefault="00392A79" w:rsidP="00502327">
            <w:pPr>
              <w:numPr>
                <w:ilvl w:val="0"/>
                <w:numId w:val="1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contributing to safe and usable public spaces, through maintaining high levels of surveillance of </w:t>
            </w:r>
            <w:r w:rsidRPr="00392A79">
              <w:rPr>
                <w:rFonts w:ascii="Arial" w:eastAsia="Times New Roman" w:hAnsi="Arial" w:cs="Arial"/>
                <w:sz w:val="20"/>
                <w:szCs w:val="20"/>
                <w:lang w:eastAsia="en-AU"/>
              </w:rPr>
              <w:lastRenderedPageBreak/>
              <w:t>parks, streets and roads that serve active transport purposes (e.g. existing or future pedestrian paths or cycle lanes etc);</w:t>
            </w:r>
          </w:p>
          <w:p w:rsidR="00392A79" w:rsidRPr="00392A79" w:rsidRDefault="00392A79" w:rsidP="00502327">
            <w:pPr>
              <w:numPr>
                <w:ilvl w:val="0"/>
                <w:numId w:val="1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A noise impact assessment may be required to demonstrate compliance with this PO.  Noise impact assessments are to be prepared in accordance with Planning scheme policy - Noise.</w:t>
                  </w:r>
                </w:p>
              </w:tc>
            </w:tr>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Refer to Planning Scheme Policy – Integrated design for details and examples of noise attenuation structures.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E21.1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is designed to meet the criteria outlined in the Planning Scheme Policy – Noise.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E21.2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Noise attenuation structures (e.g. walls, barriers or fences):</w:t>
            </w:r>
          </w:p>
          <w:p w:rsidR="00392A79" w:rsidRPr="00392A79" w:rsidRDefault="00392A79" w:rsidP="00502327">
            <w:pPr>
              <w:numPr>
                <w:ilvl w:val="0"/>
                <w:numId w:val="1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are not visible from an adjoining road or public area unless:</w:t>
            </w:r>
          </w:p>
          <w:p w:rsidR="00392A79" w:rsidRPr="00392A79" w:rsidRDefault="00392A79" w:rsidP="00502327">
            <w:pPr>
              <w:numPr>
                <w:ilvl w:val="1"/>
                <w:numId w:val="1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adjoining a motorway or rail line; or</w:t>
            </w:r>
          </w:p>
          <w:p w:rsidR="00392A79" w:rsidRPr="00392A79" w:rsidRDefault="00392A79" w:rsidP="00502327">
            <w:pPr>
              <w:numPr>
                <w:ilvl w:val="1"/>
                <w:numId w:val="1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w:t>
            </w:r>
          </w:p>
          <w:p w:rsidR="00392A79" w:rsidRPr="00392A79" w:rsidRDefault="00392A79" w:rsidP="00502327">
            <w:pPr>
              <w:numPr>
                <w:ilvl w:val="0"/>
                <w:numId w:val="1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 not remove existing or prevent future active transport routes or connections to the street network;</w:t>
            </w:r>
          </w:p>
          <w:p w:rsidR="00392A79" w:rsidRPr="00392A79" w:rsidRDefault="00392A79" w:rsidP="00502327">
            <w:pPr>
              <w:numPr>
                <w:ilvl w:val="0"/>
                <w:numId w:val="1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Refer to Planning scheme policy – Integrated design for details and examples of noise attenuation structures.</w:t>
                  </w:r>
                </w:p>
              </w:tc>
            </w:tr>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Refer to Overlay map – Active transport for future active transport routes.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jc w:val="center"/>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Works criteria</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jc w:val="center"/>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jc w:val="center"/>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Utilities</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Access</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Development provides functional and integrated car parking and vehicle access, that:</w:t>
            </w:r>
          </w:p>
          <w:p w:rsidR="00392A79" w:rsidRPr="00392A79" w:rsidRDefault="00392A79" w:rsidP="00502327">
            <w:pPr>
              <w:numPr>
                <w:ilvl w:val="0"/>
                <w:numId w:val="1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prioritises the movement and safety of pedestrians between car parking areas at the rear through to the 'main street' and the entrance to the building (e.g. Rear entry, arcade etc.);</w:t>
            </w:r>
          </w:p>
          <w:p w:rsidR="00392A79" w:rsidRPr="00392A79" w:rsidRDefault="00392A79" w:rsidP="00502327">
            <w:pPr>
              <w:numPr>
                <w:ilvl w:val="0"/>
                <w:numId w:val="14"/>
              </w:numPr>
              <w:spacing w:before="100" w:beforeAutospacing="1" w:after="100" w:afterAutospacing="1" w:line="240" w:lineRule="auto"/>
              <w:rPr>
                <w:rFonts w:ascii="Arial" w:eastAsia="Times New Roman" w:hAnsi="Arial" w:cs="Arial"/>
                <w:sz w:val="20"/>
                <w:szCs w:val="20"/>
                <w:lang w:eastAsia="en-AU"/>
              </w:rPr>
            </w:pPr>
            <w:proofErr w:type="gramStart"/>
            <w:r w:rsidRPr="00392A79">
              <w:rPr>
                <w:rFonts w:ascii="Arial" w:eastAsia="Times New Roman" w:hAnsi="Arial" w:cs="Arial"/>
                <w:sz w:val="20"/>
                <w:szCs w:val="20"/>
                <w:lang w:eastAsia="en-AU"/>
              </w:rPr>
              <w:t>provides safety and security of people and property at all times</w:t>
            </w:r>
            <w:proofErr w:type="gramEnd"/>
            <w:r w:rsidRPr="00392A79">
              <w:rPr>
                <w:rFonts w:ascii="Arial" w:eastAsia="Times New Roman" w:hAnsi="Arial" w:cs="Arial"/>
                <w:sz w:val="20"/>
                <w:szCs w:val="20"/>
                <w:lang w:eastAsia="en-AU"/>
              </w:rPr>
              <w:t>;</w:t>
            </w:r>
          </w:p>
          <w:p w:rsidR="00392A79" w:rsidRPr="00392A79" w:rsidRDefault="00392A79" w:rsidP="00502327">
            <w:pPr>
              <w:numPr>
                <w:ilvl w:val="0"/>
                <w:numId w:val="1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does not impede active transport options;</w:t>
            </w:r>
          </w:p>
          <w:p w:rsidR="00392A79" w:rsidRPr="00392A79" w:rsidRDefault="00392A79" w:rsidP="00502327">
            <w:pPr>
              <w:numPr>
                <w:ilvl w:val="0"/>
                <w:numId w:val="1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does not impact on the safe and efficient movement of traffic external to the site;</w:t>
            </w:r>
          </w:p>
          <w:p w:rsidR="00392A79" w:rsidRPr="00392A79" w:rsidRDefault="00392A79" w:rsidP="00502327">
            <w:pPr>
              <w:numPr>
                <w:ilvl w:val="0"/>
                <w:numId w:val="1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Refer to Planning scheme policy - Centre and neighbourhood hub design for details and examples.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rHeight w:val="1853"/>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required access easements contain a driveway and provision for services constructed to suit the user’s needs. The easement covers all works associated with the access in accordance with Planning scheme policy - Integrated design.</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layout of the development does not compromise:</w:t>
            </w:r>
          </w:p>
          <w:p w:rsidR="00392A79" w:rsidRPr="00392A79" w:rsidRDefault="00392A79" w:rsidP="00502327">
            <w:pPr>
              <w:numPr>
                <w:ilvl w:val="0"/>
                <w:numId w:val="15"/>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the development of the road network in the area;</w:t>
            </w:r>
          </w:p>
          <w:p w:rsidR="00392A79" w:rsidRPr="00392A79" w:rsidRDefault="00392A79" w:rsidP="00502327">
            <w:pPr>
              <w:numPr>
                <w:ilvl w:val="0"/>
                <w:numId w:val="15"/>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the function or safety of the road network;</w:t>
            </w:r>
          </w:p>
          <w:p w:rsidR="00392A79" w:rsidRPr="00392A79" w:rsidRDefault="00392A79" w:rsidP="00502327">
            <w:pPr>
              <w:numPr>
                <w:ilvl w:val="0"/>
                <w:numId w:val="15"/>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The road hierarchy is in accordance with a Neighbourhood development plan (conceptually shown on Figure 7.2.3.2 - Movement, Major streets).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E25.1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Editor's note - Residential developments should consider amalgamation with the lot to the rear and gaining access via a laneway.</w:t>
                  </w:r>
                </w:p>
              </w:tc>
            </w:tr>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The road hierarchy is in accordance with a Neighbourhood development plan (conceptually shown on Figure 7.2.3.2 - Movement, Major streets).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384"/>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E25.2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development provides for the extension of the road network in the area in accordance with Council’s road network planning.</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330"/>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E25.3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development does not compromise future road widening of frontage roads in accordance with the relevant standard and Council’s road planning.</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E25.4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development layout allows forward vehicular access to and from the site.</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Safe access facilities are provided for all vehicles required to access the site.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E26.1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Site access and driveways are designed, located and constructed in accordance with:</w:t>
            </w:r>
          </w:p>
          <w:p w:rsidR="00392A79" w:rsidRPr="00392A79" w:rsidRDefault="00392A79" w:rsidP="00502327">
            <w:pPr>
              <w:numPr>
                <w:ilvl w:val="0"/>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where for a Council-controlled road and associated with a Dwelling house:</w:t>
            </w:r>
            <w:r w:rsidRPr="00392A79">
              <w:rPr>
                <w:rFonts w:ascii="Arial" w:eastAsia="Times New Roman" w:hAnsi="Arial" w:cs="Arial"/>
                <w:sz w:val="20"/>
                <w:szCs w:val="20"/>
                <w:lang w:eastAsia="en-AU"/>
              </w:rPr>
              <w:br/>
            </w:r>
          </w:p>
          <w:p w:rsidR="00392A79" w:rsidRPr="00392A79" w:rsidRDefault="00392A79" w:rsidP="00502327">
            <w:pPr>
              <w:numPr>
                <w:ilvl w:val="1"/>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Planning scheme policy - Integrated design;</w:t>
            </w:r>
          </w:p>
          <w:p w:rsidR="00392A79" w:rsidRPr="00392A79" w:rsidRDefault="00392A79" w:rsidP="00502327">
            <w:pPr>
              <w:numPr>
                <w:ilvl w:val="0"/>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where for a Council-controlled road and not associated with a Dwelling house:</w:t>
            </w:r>
            <w:r w:rsidRPr="00392A79">
              <w:rPr>
                <w:rFonts w:ascii="Arial" w:eastAsia="Times New Roman" w:hAnsi="Arial" w:cs="Arial"/>
                <w:sz w:val="20"/>
                <w:szCs w:val="20"/>
                <w:lang w:eastAsia="en-AU"/>
              </w:rPr>
              <w:br/>
            </w:r>
          </w:p>
          <w:p w:rsidR="00392A79" w:rsidRPr="00392A79" w:rsidRDefault="00392A79" w:rsidP="00502327">
            <w:pPr>
              <w:numPr>
                <w:ilvl w:val="1"/>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AS/NZS2890.1 Parking facilities - Off </w:t>
            </w:r>
            <w:proofErr w:type="gramStart"/>
            <w:r w:rsidRPr="00392A79">
              <w:rPr>
                <w:rFonts w:ascii="Arial" w:eastAsia="Times New Roman" w:hAnsi="Arial" w:cs="Arial"/>
                <w:sz w:val="20"/>
                <w:szCs w:val="20"/>
                <w:lang w:eastAsia="en-AU"/>
              </w:rPr>
              <w:t>street car</w:t>
            </w:r>
            <w:proofErr w:type="gramEnd"/>
            <w:r w:rsidRPr="00392A79">
              <w:rPr>
                <w:rFonts w:ascii="Arial" w:eastAsia="Times New Roman" w:hAnsi="Arial" w:cs="Arial"/>
                <w:sz w:val="20"/>
                <w:szCs w:val="20"/>
                <w:lang w:eastAsia="en-AU"/>
              </w:rPr>
              <w:t xml:space="preserve"> parking;</w:t>
            </w:r>
          </w:p>
          <w:p w:rsidR="00392A79" w:rsidRPr="00392A79" w:rsidRDefault="00392A79" w:rsidP="00502327">
            <w:pPr>
              <w:numPr>
                <w:ilvl w:val="1"/>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AS/NZS2890.2 - Parking facilities - Off-street commercial vehicle facilities;</w:t>
            </w:r>
          </w:p>
          <w:p w:rsidR="00392A79" w:rsidRPr="00392A79" w:rsidRDefault="00392A79" w:rsidP="00502327">
            <w:pPr>
              <w:numPr>
                <w:ilvl w:val="1"/>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Planning scheme policy - Integrated design;</w:t>
            </w:r>
          </w:p>
          <w:p w:rsidR="00392A79" w:rsidRPr="00392A79" w:rsidRDefault="00392A79" w:rsidP="00502327">
            <w:pPr>
              <w:numPr>
                <w:ilvl w:val="1"/>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Schedule 8 - Service vehicle requirements;</w:t>
            </w:r>
          </w:p>
          <w:p w:rsidR="00392A79" w:rsidRPr="00392A79" w:rsidRDefault="00392A79" w:rsidP="00502327">
            <w:pPr>
              <w:numPr>
                <w:ilvl w:val="0"/>
                <w:numId w:val="1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 xml:space="preserve">where for a State-controlled road, the Safe Intersection Sight Distance requirements in </w:t>
            </w:r>
            <w:proofErr w:type="spellStart"/>
            <w:r w:rsidRPr="00392A79">
              <w:rPr>
                <w:rFonts w:ascii="Arial" w:eastAsia="Times New Roman" w:hAnsi="Arial" w:cs="Arial"/>
                <w:sz w:val="20"/>
                <w:szCs w:val="20"/>
                <w:lang w:eastAsia="en-AU"/>
              </w:rPr>
              <w:t>AustRoads</w:t>
            </w:r>
            <w:proofErr w:type="spellEnd"/>
            <w:r w:rsidRPr="00392A79">
              <w:rPr>
                <w:rFonts w:ascii="Arial" w:eastAsia="Times New Roman" w:hAnsi="Arial" w:cs="Arial"/>
                <w:sz w:val="20"/>
                <w:szCs w:val="20"/>
                <w:lang w:eastAsia="en-AU"/>
              </w:rPr>
              <w:t xml:space="preserve"> and the appropriate IPWEAQ standard drawings, or a copy of a Transport Infrastructure Act 1994, section 62 approval.</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heme="minorEastAsia"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E26.2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Internal driveways, car parks and access ways are designed and constructed with a sealed pavement and in accordance with: </w:t>
            </w:r>
          </w:p>
          <w:p w:rsidR="00392A79" w:rsidRPr="00392A79" w:rsidRDefault="00392A79" w:rsidP="00502327">
            <w:pPr>
              <w:numPr>
                <w:ilvl w:val="0"/>
                <w:numId w:val="1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AS/NZS 2890.1 Parking Facilities Part 1: Off </w:t>
            </w:r>
            <w:proofErr w:type="gramStart"/>
            <w:r w:rsidRPr="00392A79">
              <w:rPr>
                <w:rFonts w:ascii="Arial" w:eastAsia="Times New Roman" w:hAnsi="Arial" w:cs="Arial"/>
                <w:sz w:val="20"/>
                <w:szCs w:val="20"/>
                <w:lang w:eastAsia="en-AU"/>
              </w:rPr>
              <w:t>street car</w:t>
            </w:r>
            <w:proofErr w:type="gramEnd"/>
            <w:r w:rsidRPr="00392A79">
              <w:rPr>
                <w:rFonts w:ascii="Arial" w:eastAsia="Times New Roman" w:hAnsi="Arial" w:cs="Arial"/>
                <w:sz w:val="20"/>
                <w:szCs w:val="20"/>
                <w:lang w:eastAsia="en-AU"/>
              </w:rPr>
              <w:t xml:space="preserve"> parking;</w:t>
            </w:r>
          </w:p>
          <w:p w:rsidR="00392A79" w:rsidRPr="00392A79" w:rsidRDefault="00392A79" w:rsidP="00502327">
            <w:pPr>
              <w:numPr>
                <w:ilvl w:val="0"/>
                <w:numId w:val="1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AS 2890.2 Parking Facilities Part 2: Off street commercial vehicle facilities;</w:t>
            </w:r>
          </w:p>
          <w:p w:rsidR="00392A79" w:rsidRPr="00392A79" w:rsidRDefault="00392A79" w:rsidP="00502327">
            <w:pPr>
              <w:numPr>
                <w:ilvl w:val="0"/>
                <w:numId w:val="1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Planning scheme policy - Integrated design; and</w:t>
            </w:r>
          </w:p>
          <w:p w:rsidR="00392A79" w:rsidRPr="00392A79" w:rsidRDefault="00392A79" w:rsidP="00502327">
            <w:pPr>
              <w:numPr>
                <w:ilvl w:val="0"/>
                <w:numId w:val="1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This includes queue lengths (refer to Schedule 8 - Service vehicle requirements), pavement widths and construction.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heme="minorEastAsia"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E26.3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heme="minorEastAsia"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E26.4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Landscaping (including shade trees) is provided within car parks in accordance with Planning scheme policy - Integrated design.</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Editor's note - Where associated with a State-controlled road, further requirements may apply, and approvals may be required from the Department of Transport and Main Roads</w:t>
                  </w:r>
                  <w:r w:rsidRPr="00392A79">
                    <w:rPr>
                      <w:rFonts w:ascii="Arial" w:eastAsiaTheme="minorEastAsia" w:hAnsi="Arial" w:cs="Arial"/>
                      <w:sz w:val="20"/>
                      <w:szCs w:val="20"/>
                      <w:lang w:eastAsia="en-AU"/>
                    </w:rPr>
                    <w:t>.</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 road network is mapped on Overlay map - Road hierarchy.</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Roads which provide access to the site from an arterial or sub-arterial road remain trafficable during major storm events without flooding or impacting upon residential properties or other premises.</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E28.1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Access roads to the development have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 road network is mapped on Overlay map - Road hierarchy</w:t>
                  </w:r>
                  <w:r w:rsidRPr="00392A79">
                    <w:rPr>
                      <w:rFonts w:ascii="Arial" w:eastAsiaTheme="minorEastAsia" w:hAnsi="Arial" w:cs="Arial"/>
                      <w:sz w:val="20"/>
                      <w:szCs w:val="20"/>
                      <w:lang w:eastAsia="en-AU"/>
                    </w:rPr>
                    <w:t>.</w:t>
                  </w:r>
                </w:p>
              </w:tc>
            </w:tr>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QUDM for requirements regarding trafficability.</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E28.2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Culverts and causeways do not increase inundation levels or increase velocities, for all events up to the defined flood event, to upstream or downstream properties.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Street design and layout</w:t>
            </w:r>
          </w:p>
        </w:tc>
        <w:tc>
          <w:tcPr>
            <w:tcW w:w="738" w:type="pct"/>
            <w:tcBorders>
              <w:top w:val="outset" w:sz="6" w:space="0" w:color="auto"/>
              <w:left w:val="outset" w:sz="6" w:space="0" w:color="auto"/>
              <w:bottom w:val="outset" w:sz="6" w:space="0" w:color="auto"/>
              <w:right w:val="outset" w:sz="6" w:space="0" w:color="auto"/>
            </w:tcBorders>
            <w:shd w:val="clear" w:color="auto" w:fill="D8D9D9"/>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D8D9D9"/>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PO29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Streets are designed and constructed in accordance with Planning scheme policy - Integrated design and Planning </w:t>
            </w:r>
            <w:r w:rsidRPr="00392A79">
              <w:rPr>
                <w:rFonts w:ascii="Arial" w:eastAsiaTheme="minorEastAsia" w:hAnsi="Arial" w:cs="Arial"/>
                <w:sz w:val="20"/>
                <w:szCs w:val="20"/>
                <w:lang w:eastAsia="en-AU"/>
              </w:rPr>
              <w:lastRenderedPageBreak/>
              <w:t xml:space="preserve">scheme policy - Operational works inspection, maintenance and bonding procedures. The street design and construction </w:t>
            </w:r>
            <w:proofErr w:type="gramStart"/>
            <w:r w:rsidRPr="00392A79">
              <w:rPr>
                <w:rFonts w:ascii="Arial" w:eastAsiaTheme="minorEastAsia" w:hAnsi="Arial" w:cs="Arial"/>
                <w:sz w:val="20"/>
                <w:szCs w:val="20"/>
                <w:lang w:eastAsia="en-AU"/>
              </w:rPr>
              <w:t>accommodates</w:t>
            </w:r>
            <w:proofErr w:type="gramEnd"/>
            <w:r w:rsidRPr="00392A79">
              <w:rPr>
                <w:rFonts w:ascii="Arial" w:eastAsiaTheme="minorEastAsia" w:hAnsi="Arial" w:cs="Arial"/>
                <w:sz w:val="20"/>
                <w:szCs w:val="20"/>
                <w:lang w:eastAsia="en-AU"/>
              </w:rPr>
              <w:t xml:space="preserve"> the following functions:</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access to premises by providing convenient vehicular movement for residents between their homes and the major road network;</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safe and convenient pedestrian and cycle movement;</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adequate on street parking;</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drainage paths and treatment facilities;</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efficient public transport routes;</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utility services location;</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emergency access and waste collection;</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setting and approach (streetscape, landscaping and street furniture) for adjoining residences;</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expected traffic speeds and volumes; and</w:t>
            </w:r>
          </w:p>
          <w:p w:rsidR="00392A79" w:rsidRPr="00392A79" w:rsidRDefault="00392A79" w:rsidP="00502327">
            <w:pPr>
              <w:numPr>
                <w:ilvl w:val="0"/>
                <w:numId w:val="1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tc>
            </w:tr>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Planning scheme policy - Environmental areas and corridors for examples of when and where wildlife movement infrastructure is required.</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 </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Note - An applicant may be required to submit an Integrated Transport Assessment (ITA), prepared in accordance with Planning scheme policy - Integrated transport assessment to </w:t>
                  </w:r>
                  <w:r w:rsidRPr="0009358B">
                    <w:rPr>
                      <w:rFonts w:ascii="Arial" w:eastAsiaTheme="minorEastAsia" w:hAnsi="Arial" w:cs="Arial"/>
                      <w:sz w:val="18"/>
                      <w:szCs w:val="20"/>
                      <w:lang w:eastAsia="en-AU"/>
                    </w:rPr>
                    <w:lastRenderedPageBreak/>
                    <w:t>demonstrate compliance with this PO, when any of the following occurs:</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Development is near a transport sensitive location;</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Forecast traffic to/from the development exceeds 5% of the </w:t>
                  </w:r>
                  <w:proofErr w:type="gramStart"/>
                  <w:r w:rsidRPr="0009358B">
                    <w:rPr>
                      <w:rFonts w:ascii="Arial" w:eastAsiaTheme="minorEastAsia" w:hAnsi="Arial" w:cs="Arial"/>
                      <w:sz w:val="18"/>
                      <w:szCs w:val="20"/>
                      <w:lang w:eastAsia="en-AU"/>
                    </w:rPr>
                    <w:t>two way</w:t>
                  </w:r>
                  <w:proofErr w:type="gramEnd"/>
                  <w:r w:rsidRPr="0009358B">
                    <w:rPr>
                      <w:rFonts w:ascii="Arial" w:eastAsiaTheme="minorEastAsia" w:hAnsi="Arial" w:cs="Arial"/>
                      <w:sz w:val="18"/>
                      <w:szCs w:val="20"/>
                      <w:lang w:eastAsia="en-AU"/>
                    </w:rPr>
                    <w:t xml:space="preserve"> flow on the adjoining road or intersection, and congestion currently exists or is anticipated within 10 years of the development completion;</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Development access onto a sub arterial, or arterial road or within 100m of a signalised intersection;</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Residential development greater than 50 lots or dwellings;</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Offices greater than 4,000m</w:t>
                  </w:r>
                  <w:r w:rsidRPr="0009358B">
                    <w:rPr>
                      <w:rFonts w:ascii="Arial" w:eastAsiaTheme="minorEastAsia" w:hAnsi="Arial" w:cs="Arial"/>
                      <w:sz w:val="18"/>
                      <w:szCs w:val="20"/>
                      <w:vertAlign w:val="superscript"/>
                      <w:lang w:eastAsia="en-AU"/>
                    </w:rPr>
                    <w:t>2</w:t>
                  </w:r>
                  <w:r w:rsidRPr="0009358B">
                    <w:rPr>
                      <w:rFonts w:ascii="Arial" w:eastAsiaTheme="minorEastAsia" w:hAnsi="Arial" w:cs="Arial"/>
                      <w:sz w:val="18"/>
                      <w:szCs w:val="20"/>
                      <w:lang w:eastAsia="en-AU"/>
                    </w:rPr>
                    <w:t xml:space="preserve"> Gross Floor Area (GFA);</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Retail activities including Hardware and trade supplies, Showroom, Shop or Shopping centre greater than 1,000m</w:t>
                  </w:r>
                  <w:r w:rsidRPr="0009358B">
                    <w:rPr>
                      <w:rFonts w:ascii="Arial" w:eastAsiaTheme="minorEastAsia" w:hAnsi="Arial" w:cs="Arial"/>
                      <w:sz w:val="18"/>
                      <w:szCs w:val="20"/>
                      <w:vertAlign w:val="superscript"/>
                      <w:lang w:eastAsia="en-AU"/>
                    </w:rPr>
                    <w:t>2</w:t>
                  </w:r>
                  <w:r w:rsidRPr="0009358B">
                    <w:rPr>
                      <w:rFonts w:ascii="Arial" w:eastAsiaTheme="minorEastAsia" w:hAnsi="Arial" w:cs="Arial"/>
                      <w:sz w:val="18"/>
                      <w:szCs w:val="20"/>
                      <w:lang w:eastAsia="en-AU"/>
                    </w:rPr>
                    <w:t xml:space="preserve"> GFA;</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proofErr w:type="gramStart"/>
                  <w:r w:rsidRPr="0009358B">
                    <w:rPr>
                      <w:rFonts w:ascii="Arial" w:eastAsiaTheme="minorEastAsia" w:hAnsi="Arial" w:cs="Arial"/>
                      <w:sz w:val="18"/>
                      <w:szCs w:val="20"/>
                      <w:lang w:eastAsia="en-AU"/>
                    </w:rPr>
                    <w:t>Warehouses</w:t>
                  </w:r>
                  <w:r w:rsidRPr="0009358B">
                    <w:rPr>
                      <w:rFonts w:ascii="Arial" w:eastAsiaTheme="minorEastAsia" w:hAnsi="Arial" w:cs="Arial"/>
                      <w:sz w:val="18"/>
                      <w:szCs w:val="20"/>
                      <w:vertAlign w:val="superscript"/>
                      <w:lang w:eastAsia="en-AU"/>
                    </w:rPr>
                    <w:t>(</w:t>
                  </w:r>
                  <w:proofErr w:type="gramEnd"/>
                  <w:r w:rsidRPr="0009358B">
                    <w:rPr>
                      <w:rFonts w:ascii="Arial" w:eastAsiaTheme="minorEastAsia" w:hAnsi="Arial" w:cs="Arial"/>
                      <w:sz w:val="18"/>
                      <w:szCs w:val="20"/>
                      <w:vertAlign w:val="superscript"/>
                      <w:lang w:eastAsia="en-AU"/>
                    </w:rPr>
                    <w:t>88)</w:t>
                  </w:r>
                  <w:r w:rsidRPr="0009358B">
                    <w:rPr>
                      <w:rFonts w:ascii="Arial" w:eastAsiaTheme="minorEastAsia" w:hAnsi="Arial" w:cs="Arial"/>
                      <w:sz w:val="18"/>
                      <w:szCs w:val="20"/>
                      <w:lang w:eastAsia="en-AU"/>
                    </w:rPr>
                    <w:t xml:space="preserve"> greater than 6,000m</w:t>
                  </w:r>
                  <w:r w:rsidRPr="0009358B">
                    <w:rPr>
                      <w:rFonts w:ascii="Arial" w:eastAsiaTheme="minorEastAsia" w:hAnsi="Arial" w:cs="Arial"/>
                      <w:sz w:val="18"/>
                      <w:szCs w:val="20"/>
                      <w:vertAlign w:val="superscript"/>
                      <w:lang w:eastAsia="en-AU"/>
                    </w:rPr>
                    <w:t>2</w:t>
                  </w:r>
                  <w:r w:rsidRPr="0009358B">
                    <w:rPr>
                      <w:rFonts w:ascii="Arial" w:eastAsiaTheme="minorEastAsia" w:hAnsi="Arial" w:cs="Arial"/>
                      <w:sz w:val="18"/>
                      <w:szCs w:val="20"/>
                      <w:lang w:eastAsia="en-AU"/>
                    </w:rPr>
                    <w:t xml:space="preserve"> GFA;</w:t>
                  </w:r>
                </w:p>
                <w:p w:rsidR="00392A79" w:rsidRPr="0009358B" w:rsidRDefault="00392A79" w:rsidP="00502327">
                  <w:pPr>
                    <w:numPr>
                      <w:ilvl w:val="0"/>
                      <w:numId w:val="19"/>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On-site carpark greater than 100 spaces.</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09358B">
                    <w:rPr>
                      <w:rFonts w:ascii="Arial" w:eastAsiaTheme="minorEastAsia" w:hAnsi="Arial" w:cs="Arial"/>
                      <w:sz w:val="18"/>
                      <w:szCs w:val="20"/>
                      <w:lang w:eastAsia="en-AU"/>
                    </w:rPr>
                    <w:t>sufficient</w:t>
                  </w:r>
                  <w:proofErr w:type="gramEnd"/>
                  <w:r w:rsidRPr="0009358B">
                    <w:rPr>
                      <w:rFonts w:ascii="Arial" w:eastAsiaTheme="minorEastAsia"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r w:rsidRPr="00392A79">
                    <w:rPr>
                      <w:rFonts w:ascii="Arial" w:eastAsiaTheme="minorEastAsia" w:hAnsi="Arial" w:cs="Arial"/>
                      <w:sz w:val="20"/>
                      <w:szCs w:val="20"/>
                      <w:lang w:eastAsia="en-AU"/>
                    </w:rPr>
                    <w:t>.</w:t>
                  </w:r>
                </w:p>
              </w:tc>
            </w:tr>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lastRenderedPageBreak/>
                    <w:t>Note - The road network is mapped on Overlay map - Road hierarchy.</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primary and secondary active transport network is mapped on Overlay map - Active transport.</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E30.1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All turns vehicular access to existing lots is to be retained at new road intersections wherever practicable.</w:t>
                  </w:r>
                </w:p>
              </w:tc>
            </w:tr>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lastRenderedPageBreak/>
                    <w:t>Note - Existing on-street parking is to be retained at new road intersections and along road frontages wherever practicable.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E30.2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All turns vehicular access to existing lots is to be retained at upgraded road intersections wherever practicable.</w:t>
                  </w:r>
                </w:p>
              </w:tc>
            </w:tr>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Existing on-street parking is to be retained at upgraded road intersections and along road frontages wherever practicable.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E30.3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active transport network is extended in accordance with Planning scheme policy - Integrated design.</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Planning scheme policy - Integrated design and Planning scheme policy - Operational works inspection, maintenance and bonding procedures for design and construction standards.</w:t>
                  </w:r>
                </w:p>
              </w:tc>
            </w:tr>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09358B">
                    <w:rPr>
                      <w:rFonts w:ascii="Arial" w:eastAsiaTheme="minorEastAsia" w:hAnsi="Arial" w:cs="Arial"/>
                      <w:sz w:val="18"/>
                      <w:szCs w:val="20"/>
                      <w:lang w:eastAsia="en-AU"/>
                    </w:rPr>
                    <w:br/>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E31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New intersection spacing (centreline – centreline) along a through road conforms with the following:</w:t>
            </w:r>
          </w:p>
          <w:p w:rsidR="00392A79" w:rsidRPr="00392A79" w:rsidRDefault="00392A79" w:rsidP="00502327">
            <w:pPr>
              <w:numPr>
                <w:ilvl w:val="0"/>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the through road provides an access function:</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the same side = 60 metres; or</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(Left Right Stagger) = 60 metres;</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(Right Left Stagger) = 40 metres.</w:t>
            </w:r>
          </w:p>
          <w:p w:rsidR="00392A79" w:rsidRPr="00392A79" w:rsidRDefault="00392A79" w:rsidP="00502327">
            <w:pPr>
              <w:numPr>
                <w:ilvl w:val="0"/>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the through road provides a collector or sub-arterial function:</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the same side = 100 metres; </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(Left Right Stagger) = 100 metres;</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(Right Left Stagger) = 60 metres.</w:t>
            </w:r>
          </w:p>
          <w:p w:rsidR="00392A79" w:rsidRPr="00392A79" w:rsidRDefault="00392A79" w:rsidP="00502327">
            <w:pPr>
              <w:numPr>
                <w:ilvl w:val="0"/>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the through road provides an arterial function:</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the same side = 300 metres;</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(Left Right Stagger) = 300 metres;</w:t>
            </w:r>
          </w:p>
          <w:p w:rsidR="00392A79" w:rsidRPr="00392A79" w:rsidRDefault="00392A79" w:rsidP="00502327">
            <w:pPr>
              <w:numPr>
                <w:ilvl w:val="1"/>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intersecting road located on opposite side (Right Left Stagger) = 300 metres;</w:t>
            </w:r>
          </w:p>
          <w:p w:rsidR="00392A79" w:rsidRPr="00392A79" w:rsidRDefault="00392A79" w:rsidP="00502327">
            <w:pPr>
              <w:numPr>
                <w:ilvl w:val="0"/>
                <w:numId w:val="2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Based on the absolute minimum intersection spacing identified above, all turns access may not be permitted (</w:t>
                  </w:r>
                  <w:proofErr w:type="spellStart"/>
                  <w:r w:rsidRPr="0009358B">
                    <w:rPr>
                      <w:rFonts w:ascii="Arial" w:eastAsiaTheme="minorEastAsia" w:hAnsi="Arial" w:cs="Arial"/>
                      <w:sz w:val="18"/>
                      <w:szCs w:val="20"/>
                      <w:lang w:eastAsia="en-AU"/>
                    </w:rPr>
                    <w:t>ie</w:t>
                  </w:r>
                  <w:proofErr w:type="spellEnd"/>
                  <w:r w:rsidRPr="0009358B">
                    <w:rPr>
                      <w:rFonts w:ascii="Arial" w:eastAsiaTheme="minorEastAsia" w:hAnsi="Arial" w:cs="Arial"/>
                      <w:sz w:val="18"/>
                      <w:szCs w:val="20"/>
                      <w:lang w:eastAsia="en-AU"/>
                    </w:rPr>
                    <w:t>. left in/left out only) at intersections with sub-arterial roads or arterial roads.</w:t>
                  </w:r>
                </w:p>
              </w:tc>
            </w:tr>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road network is mapped on Overlay map - Road hierarchy.</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Note - An Integrated Transport Assessment (ITA) including preliminary intersection designs, prepared in accordance with Planning scheme policy - Integrated transport assessment </w:t>
                  </w:r>
                  <w:r w:rsidRPr="0009358B">
                    <w:rPr>
                      <w:rFonts w:ascii="Arial" w:eastAsiaTheme="minorEastAsia" w:hAnsi="Arial" w:cs="Arial"/>
                      <w:sz w:val="18"/>
                      <w:szCs w:val="20"/>
                      <w:lang w:eastAsia="en-AU"/>
                    </w:rPr>
                    <w:lastRenderedPageBreak/>
                    <w:t>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PO32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Frontage roads include streets where no direct lot access is provided.</w:t>
                  </w:r>
                </w:p>
              </w:tc>
            </w:tr>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road network is mapped on Overlay map - Road hierarchy.</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Primary and Secondary active transport network is mapped on Overlay map - Active transport.</w:t>
                  </w:r>
                </w:p>
              </w:tc>
            </w:tr>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450"/>
              <w:gridCol w:w="2450"/>
              <w:gridCol w:w="50"/>
            </w:tblGrid>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Minimum construction</w:t>
                  </w:r>
                </w:p>
              </w:tc>
            </w:tr>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Frontage road unconstructed or gravel road only;</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OR</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Frontage road sealed but not constructed* to Planning scheme policy - Integrated design standard;</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OR</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minimum total travel lane width is:</w:t>
                  </w:r>
                </w:p>
                <w:p w:rsidR="00392A79" w:rsidRPr="00392A79" w:rsidRDefault="00392A79" w:rsidP="00502327">
                  <w:pPr>
                    <w:numPr>
                      <w:ilvl w:val="0"/>
                      <w:numId w:val="2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6m for minor roads;</w:t>
                  </w:r>
                </w:p>
                <w:p w:rsidR="00392A79" w:rsidRPr="00392A79" w:rsidRDefault="00392A79" w:rsidP="00502327">
                  <w:pPr>
                    <w:numPr>
                      <w:ilvl w:val="0"/>
                      <w:numId w:val="2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7m for major roads.</w:t>
                  </w:r>
                </w:p>
              </w:tc>
            </w:tr>
            <w:tr w:rsidR="00392A79" w:rsidRPr="0009358B" w:rsidTr="00392A79">
              <w:tblPrEx>
                <w:tblBorders>
                  <w:top w:val="none" w:sz="0" w:space="0" w:color="auto"/>
                  <w:left w:val="none" w:sz="0" w:space="0" w:color="auto"/>
                  <w:bottom w:val="none" w:sz="0" w:space="0" w:color="auto"/>
                  <w:right w:val="none" w:sz="0" w:space="0" w:color="auto"/>
                </w:tblBorders>
              </w:tblPrEx>
              <w:trPr>
                <w:tblCellSpacing w:w="15" w:type="dxa"/>
              </w:trPr>
              <w:tc>
                <w:tcPr>
                  <w:tcW w:w="4933" w:type="dxa"/>
                  <w:gridSpan w:val="4"/>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lastRenderedPageBreak/>
                    <w:t>Note - Major roads are sub-arterial roads and arterial roads.  Minor roads are roads that are not major roads.</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Note - Construction includes all associated works (services, street lighting and </w:t>
                  </w:r>
                  <w:proofErr w:type="spellStart"/>
                  <w:r w:rsidRPr="0009358B">
                    <w:rPr>
                      <w:rFonts w:ascii="Arial" w:eastAsiaTheme="minorEastAsia" w:hAnsi="Arial" w:cs="Arial"/>
                      <w:sz w:val="18"/>
                      <w:szCs w:val="20"/>
                      <w:lang w:eastAsia="en-AU"/>
                    </w:rPr>
                    <w:t>linemarking</w:t>
                  </w:r>
                  <w:proofErr w:type="spellEnd"/>
                  <w:r w:rsidRPr="0009358B">
                    <w:rPr>
                      <w:rFonts w:ascii="Arial" w:eastAsiaTheme="minorEastAsia" w:hAnsi="Arial" w:cs="Arial"/>
                      <w:sz w:val="18"/>
                      <w:szCs w:val="20"/>
                      <w:lang w:eastAsia="en-AU"/>
                    </w:rPr>
                    <w:t>).</w:t>
                  </w:r>
                </w:p>
              </w:tc>
            </w:tr>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Alignment within road reserves is to be agreed with Council.</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Note - *Roads </w:t>
                  </w:r>
                  <w:proofErr w:type="gramStart"/>
                  <w:r w:rsidRPr="0009358B">
                    <w:rPr>
                      <w:rFonts w:ascii="Arial" w:eastAsiaTheme="minorEastAsia" w:hAnsi="Arial" w:cs="Arial"/>
                      <w:sz w:val="18"/>
                      <w:szCs w:val="20"/>
                      <w:lang w:eastAsia="en-AU"/>
                    </w:rPr>
                    <w:t>are considered to be</w:t>
                  </w:r>
                  <w:proofErr w:type="gramEnd"/>
                  <w:r w:rsidRPr="0009358B">
                    <w:rPr>
                      <w:rFonts w:ascii="Arial" w:eastAsiaTheme="minorEastAsia"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 xml:space="preserve">Stormwater </w:t>
            </w:r>
            <w:r w:rsidRPr="00392A79">
              <w:rPr>
                <w:rFonts w:ascii="Arial" w:eastAsiaTheme="minorEastAsia" w:hAnsi="Arial" w:cs="Arial"/>
                <w:sz w:val="20"/>
                <w:szCs w:val="20"/>
                <w:lang w:eastAsia="en-AU"/>
              </w:rPr>
              <w:t> </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E33.1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capacity of all minor drainage systems </w:t>
            </w:r>
            <w:proofErr w:type="gramStart"/>
            <w:r w:rsidRPr="00392A79">
              <w:rPr>
                <w:rFonts w:ascii="Arial" w:eastAsiaTheme="minorEastAsia" w:hAnsi="Arial" w:cs="Arial"/>
                <w:sz w:val="20"/>
                <w:szCs w:val="20"/>
                <w:lang w:eastAsia="en-AU"/>
              </w:rPr>
              <w:t>are</w:t>
            </w:r>
            <w:proofErr w:type="gramEnd"/>
            <w:r w:rsidRPr="00392A79">
              <w:rPr>
                <w:rFonts w:ascii="Arial" w:eastAsiaTheme="minorEastAsia" w:hAnsi="Arial" w:cs="Arial"/>
                <w:sz w:val="20"/>
                <w:szCs w:val="20"/>
                <w:lang w:eastAsia="en-AU"/>
              </w:rPr>
              <w:t xml:space="preserve"> designed in accordance with Planning scheme policy - Integrated design.</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E33.2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pipe network capacity is to be calculated in accordance with the Hydraulic Grade Line method as detailed in Australian Rainfall and Runoff or QUDM.</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E33.3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Development ensures that inter-allotment drainage infrastructure is provided in accordance with the relevant level as identified in QUDM.</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Major stormwater drainage system(s) have the capacity to safely convey stormwater flows for the 1% AEP event for the fully developed upstream catchment.</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E34.1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internal drainage system safely and adequately conveys the stormwater flows for the 1% AEP event for the fully developed upstream catchment through the site.</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E34.2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external (downstream) drainage system safely conveys the stormwater flows for the 1% AEP event for the fully developed upstream catchment without allowing the flows to encroach upon private lots.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E34.3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Overland flow paths from roads and public open space areas do not pass through private lots. Drainage pathways are provided to accommodate overland flows from roads and public open space areas.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E34.4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Refer to QUDM for recommended average flow velocities</w:t>
                  </w:r>
                  <w:r w:rsidRPr="00392A79">
                    <w:rPr>
                      <w:rFonts w:ascii="Arial" w:eastAsiaTheme="minorEastAsia" w:hAnsi="Arial" w:cs="Arial"/>
                      <w:sz w:val="20"/>
                      <w:szCs w:val="20"/>
                      <w:lang w:eastAsia="en-AU"/>
                    </w:rPr>
                    <w:t>.</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E35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The stormwater drainage system is designed and constructed in accordance with Planning scheme policy - Integrated design.</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Planning scheme policy - Integrated design for details and examples.</w:t>
                  </w:r>
                </w:p>
              </w:tc>
            </w:tr>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downstream drainage discharge report in accordance with Planning scheme policy - Stormwater management may be required to demonstrate achievement of this performance outcome.</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generated from the development does not compromise the capacity of existing stormwater infrastructure downstream of the site.</w:t>
            </w:r>
          </w:p>
          <w:tbl>
            <w:tblPr>
              <w:tblW w:w="530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7"/>
            </w:tblGrid>
            <w:tr w:rsidR="00392A79" w:rsidRPr="00392A79" w:rsidTr="0009358B">
              <w:trPr>
                <w:tblCellSpacing w:w="15" w:type="dxa"/>
              </w:trPr>
              <w:tc>
                <w:tcPr>
                  <w:tcW w:w="5247"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lastRenderedPageBreak/>
                    <w:t>Note - A downstream drainage discharge report in accordance with Planning scheme policy - Stormwater management may be required to demonstrate compliance with this performance outcome.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development:</w:t>
            </w:r>
          </w:p>
          <w:p w:rsidR="00392A79" w:rsidRPr="00392A79" w:rsidRDefault="00392A79" w:rsidP="00502327">
            <w:pPr>
              <w:numPr>
                <w:ilvl w:val="0"/>
                <w:numId w:val="2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for an urban purpose that involves a land area of 2500m</w:t>
            </w:r>
            <w:r w:rsidRPr="00392A79">
              <w:rPr>
                <w:rFonts w:ascii="Arial" w:eastAsiaTheme="minorEastAsia" w:hAnsi="Arial" w:cs="Arial"/>
                <w:sz w:val="20"/>
                <w:szCs w:val="20"/>
                <w:vertAlign w:val="superscript"/>
                <w:lang w:eastAsia="en-AU"/>
              </w:rPr>
              <w:t>2</w:t>
            </w:r>
            <w:r w:rsidRPr="00392A79">
              <w:rPr>
                <w:rFonts w:ascii="Arial" w:eastAsiaTheme="minorEastAsia" w:hAnsi="Arial" w:cs="Arial"/>
                <w:sz w:val="20"/>
                <w:szCs w:val="20"/>
                <w:lang w:eastAsia="en-AU"/>
              </w:rPr>
              <w:t xml:space="preserve"> or greater; and</w:t>
            </w:r>
          </w:p>
          <w:p w:rsidR="00392A79" w:rsidRPr="00392A79" w:rsidRDefault="00392A79" w:rsidP="00502327">
            <w:pPr>
              <w:numPr>
                <w:ilvl w:val="0"/>
                <w:numId w:val="2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will result in:</w:t>
            </w:r>
          </w:p>
          <w:p w:rsidR="00392A79" w:rsidRPr="00392A79" w:rsidRDefault="00392A79" w:rsidP="00502327">
            <w:pPr>
              <w:numPr>
                <w:ilvl w:val="1"/>
                <w:numId w:val="2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6 or more dwellings; or</w:t>
            </w:r>
          </w:p>
          <w:p w:rsidR="00392A79" w:rsidRPr="00392A79" w:rsidRDefault="00392A79" w:rsidP="00502327">
            <w:pPr>
              <w:numPr>
                <w:ilvl w:val="1"/>
                <w:numId w:val="2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val="en-US" w:eastAsia="en-AU"/>
              </w:rPr>
              <w:t xml:space="preserve">an </w:t>
            </w:r>
            <w:proofErr w:type="spellStart"/>
            <w:r w:rsidRPr="00392A79">
              <w:rPr>
                <w:rFonts w:ascii="Arial" w:eastAsiaTheme="minorEastAsia" w:hAnsi="Arial" w:cs="Arial"/>
                <w:sz w:val="20"/>
                <w:szCs w:val="20"/>
                <w:lang w:val="en-US" w:eastAsia="en-AU"/>
              </w:rPr>
              <w:t>i</w:t>
            </w:r>
            <w:r w:rsidRPr="00392A79">
              <w:rPr>
                <w:rFonts w:ascii="Arial" w:eastAsiaTheme="minorEastAsia" w:hAnsi="Arial" w:cs="Arial"/>
                <w:sz w:val="20"/>
                <w:szCs w:val="20"/>
                <w:lang w:eastAsia="en-AU"/>
              </w:rPr>
              <w:t>mpervious</w:t>
            </w:r>
            <w:proofErr w:type="spellEnd"/>
            <w:r w:rsidRPr="00392A79">
              <w:rPr>
                <w:rFonts w:ascii="Arial" w:eastAsiaTheme="minorEastAsia" w:hAnsi="Arial" w:cs="Arial"/>
                <w:sz w:val="20"/>
                <w:szCs w:val="20"/>
                <w:lang w:eastAsia="en-AU"/>
              </w:rPr>
              <w:t xml:space="preserve"> area greater than 25% of the net developable area, </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 xml:space="preserve">Note - A </w:t>
                  </w:r>
                  <w:proofErr w:type="gramStart"/>
                  <w:r w:rsidRPr="0009358B">
                    <w:rPr>
                      <w:rFonts w:ascii="Arial" w:eastAsiaTheme="minorEastAsia" w:hAnsi="Arial" w:cs="Arial"/>
                      <w:sz w:val="18"/>
                      <w:szCs w:val="20"/>
                      <w:lang w:eastAsia="en-AU"/>
                    </w:rPr>
                    <w:t>site based</w:t>
                  </w:r>
                  <w:proofErr w:type="gramEnd"/>
                  <w:r w:rsidRPr="0009358B">
                    <w:rPr>
                      <w:rFonts w:ascii="Arial" w:eastAsiaTheme="minorEastAsia"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PO39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lastRenderedPageBreak/>
                    <w:t>Note - In order to achieve a lawful point of discharge, stormwater easements may also be required over temporary drainage channels/infrastructure where stormwater discharges to a balance lot prior to entering Council’s stormwater drainage system.</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E39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450"/>
              <w:gridCol w:w="2450"/>
              <w:gridCol w:w="50"/>
            </w:tblGrid>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Minimum Easement Width (excluding access requirements)</w:t>
                  </w:r>
                </w:p>
              </w:tc>
            </w:tr>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3.0m</w:t>
                  </w:r>
                </w:p>
              </w:tc>
            </w:tr>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4.0m</w:t>
                  </w:r>
                </w:p>
              </w:tc>
            </w:tr>
            <w:tr w:rsidR="00392A79" w:rsidRPr="00392A79" w:rsidTr="00392A7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Easement boundary to be 1m clear of the outside wall of the stormwater pipe (each side)</w:t>
                  </w:r>
                </w:p>
              </w:tc>
            </w:tr>
            <w:tr w:rsidR="00392A79" w:rsidRPr="0009358B" w:rsidTr="00392A79">
              <w:tblPrEx>
                <w:tblBorders>
                  <w:top w:val="none" w:sz="0" w:space="0" w:color="auto"/>
                  <w:left w:val="none" w:sz="0" w:space="0" w:color="auto"/>
                  <w:bottom w:val="none" w:sz="0" w:space="0" w:color="auto"/>
                  <w:right w:val="none" w:sz="0" w:space="0" w:color="auto"/>
                </w:tblBorders>
              </w:tblPrEx>
              <w:trPr>
                <w:tblCellSpacing w:w="15" w:type="dxa"/>
              </w:trPr>
              <w:tc>
                <w:tcPr>
                  <w:tcW w:w="4933" w:type="dxa"/>
                  <w:gridSpan w:val="4"/>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Additional easement width may be required in certain circumstances in order to facilitate maintenance access to the stormwater system. </w:t>
                  </w:r>
                </w:p>
              </w:tc>
            </w:tr>
          </w:tbl>
          <w:p w:rsidR="00392A79" w:rsidRPr="0009358B" w:rsidRDefault="00392A79" w:rsidP="00392A79">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09358B"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Planning scheme policy - Integrated design (Appendix C) for easement requirements over open channels.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management facilities (excluding outlets) are located outside of riparian areas and prevent increased channel bed and bank erosion.</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 </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Site works and construction management</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site and any existing structures are maintained in a tidy and safe condition.</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All works on-site are managed to:</w:t>
            </w:r>
          </w:p>
          <w:p w:rsidR="00392A79" w:rsidRPr="00392A79" w:rsidRDefault="00392A79" w:rsidP="00502327">
            <w:pPr>
              <w:numPr>
                <w:ilvl w:val="0"/>
                <w:numId w:val="2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minimise as far as practicable, impacts on adjoining or adjacent premises and the streetscape </w:t>
            </w:r>
            <w:proofErr w:type="gramStart"/>
            <w:r w:rsidRPr="00392A79">
              <w:rPr>
                <w:rFonts w:ascii="Arial" w:eastAsia="Times New Roman" w:hAnsi="Arial" w:cs="Arial"/>
                <w:sz w:val="20"/>
                <w:szCs w:val="20"/>
                <w:lang w:eastAsia="en-AU"/>
              </w:rPr>
              <w:t>in regard to</w:t>
            </w:r>
            <w:proofErr w:type="gramEnd"/>
            <w:r w:rsidRPr="00392A79">
              <w:rPr>
                <w:rFonts w:ascii="Arial" w:eastAsia="Times New Roman" w:hAnsi="Arial" w:cs="Arial"/>
                <w:sz w:val="20"/>
                <w:szCs w:val="20"/>
                <w:lang w:eastAsia="en-AU"/>
              </w:rPr>
              <w:t xml:space="preserve"> erosion and sedimentation, dust, noise, safety and light;</w:t>
            </w:r>
          </w:p>
          <w:p w:rsidR="00392A79" w:rsidRPr="00392A79" w:rsidRDefault="00392A79" w:rsidP="00502327">
            <w:pPr>
              <w:numPr>
                <w:ilvl w:val="0"/>
                <w:numId w:val="2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minimise as far as possible, impacts on the natural environment;</w:t>
            </w:r>
          </w:p>
          <w:p w:rsidR="00392A79" w:rsidRPr="00392A79" w:rsidRDefault="00392A79" w:rsidP="00502327">
            <w:pPr>
              <w:numPr>
                <w:ilvl w:val="0"/>
                <w:numId w:val="2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ensure stormwater discharge is managed in a manner that does not cause actionable nuisance to any person or premises;</w:t>
            </w:r>
          </w:p>
          <w:p w:rsidR="00392A79" w:rsidRPr="00392A79" w:rsidRDefault="00392A79" w:rsidP="00502327">
            <w:pPr>
              <w:numPr>
                <w:ilvl w:val="0"/>
                <w:numId w:val="2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avoid adverse impacts on street streets and their critical root zone.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E42.1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Works incorporate temporary stormwater run-off, erosion and sediment controls and trash removal </w:t>
            </w:r>
            <w:r w:rsidRPr="00392A79">
              <w:rPr>
                <w:rFonts w:ascii="Arial" w:eastAsiaTheme="minorEastAsia" w:hAnsi="Arial" w:cs="Arial"/>
                <w:sz w:val="20"/>
                <w:szCs w:val="20"/>
                <w:lang w:eastAsia="en-AU"/>
              </w:rPr>
              <w:lastRenderedPageBreak/>
              <w:t>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392A79" w:rsidRPr="00392A79" w:rsidRDefault="00392A79" w:rsidP="00502327">
            <w:pPr>
              <w:numPr>
                <w:ilvl w:val="0"/>
                <w:numId w:val="2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is not discharged to adjacent properties in a manner that differs significantly from pre-existing conditions;</w:t>
            </w:r>
          </w:p>
          <w:p w:rsidR="00392A79" w:rsidRPr="00392A79" w:rsidRDefault="00392A79" w:rsidP="00502327">
            <w:pPr>
              <w:numPr>
                <w:ilvl w:val="0"/>
                <w:numId w:val="2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discharged to adjoining and downstream properties does not cause scour or erosion of any kind;</w:t>
            </w:r>
          </w:p>
          <w:p w:rsidR="00392A79" w:rsidRPr="00392A79" w:rsidRDefault="00392A79" w:rsidP="00502327">
            <w:pPr>
              <w:numPr>
                <w:ilvl w:val="0"/>
                <w:numId w:val="2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stormwater discharge rates do not exceed pre-existing conditions;</w:t>
            </w:r>
          </w:p>
          <w:p w:rsidR="00392A79" w:rsidRPr="00392A79" w:rsidRDefault="00392A79" w:rsidP="00502327">
            <w:pPr>
              <w:numPr>
                <w:ilvl w:val="0"/>
                <w:numId w:val="24"/>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minimum design storm for all temporary diversion drains and sedimentation basins in accordance with Schedule 10 - Stormwater management design objectives;</w:t>
            </w:r>
          </w:p>
          <w:p w:rsidR="00392A79" w:rsidRPr="00392A79" w:rsidRDefault="00392A79" w:rsidP="00502327">
            <w:pPr>
              <w:numPr>
                <w:ilvl w:val="0"/>
                <w:numId w:val="24"/>
              </w:numPr>
              <w:spacing w:before="100" w:beforeAutospacing="1" w:after="100" w:afterAutospacing="1" w:line="240" w:lineRule="auto"/>
              <w:rPr>
                <w:rFonts w:ascii="Arial" w:eastAsiaTheme="minorEastAsia" w:hAnsi="Arial" w:cs="Arial"/>
                <w:sz w:val="20"/>
                <w:szCs w:val="20"/>
                <w:lang w:eastAsia="en-AU"/>
              </w:rPr>
            </w:pPr>
            <w:proofErr w:type="gramStart"/>
            <w:r w:rsidRPr="00392A79">
              <w:rPr>
                <w:rFonts w:ascii="Arial" w:eastAsiaTheme="minorEastAsia" w:hAnsi="Arial" w:cs="Arial"/>
                <w:sz w:val="20"/>
                <w:szCs w:val="20"/>
                <w:lang w:eastAsia="en-AU"/>
              </w:rPr>
              <w:t>ponding  or</w:t>
            </w:r>
            <w:proofErr w:type="gramEnd"/>
            <w:r w:rsidRPr="00392A79">
              <w:rPr>
                <w:rFonts w:ascii="Arial" w:eastAsiaTheme="minorEastAsia" w:hAnsi="Arial" w:cs="Arial"/>
                <w:sz w:val="20"/>
                <w:szCs w:val="20"/>
                <w:lang w:eastAsia="en-AU"/>
              </w:rPr>
              <w:t xml:space="preserve"> concentration of stormwater does not occur on adjoining properties.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E42.2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Stormwater run-off, erosion and sediment controls are constructed in accordance with Planning scheme policy - Integrated design (Appendix C) prior to commencement of any clearing work or earthworks and </w:t>
            </w:r>
            <w:proofErr w:type="gramStart"/>
            <w:r w:rsidRPr="00392A79">
              <w:rPr>
                <w:rFonts w:ascii="Arial" w:eastAsiaTheme="minorEastAsia" w:hAnsi="Arial" w:cs="Arial"/>
                <w:sz w:val="20"/>
                <w:szCs w:val="20"/>
                <w:lang w:eastAsia="en-AU"/>
              </w:rPr>
              <w:t>are maintained and adjusted as necessary at all times</w:t>
            </w:r>
            <w:proofErr w:type="gramEnd"/>
            <w:r w:rsidRPr="00392A79">
              <w:rPr>
                <w:rFonts w:ascii="Arial" w:eastAsiaTheme="minorEastAsia" w:hAnsi="Arial" w:cs="Arial"/>
                <w:sz w:val="20"/>
                <w:szCs w:val="20"/>
                <w:lang w:eastAsia="en-AU"/>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 measures are adjusted on-site to maximise their effectiveness.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E42.3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completed earthworks (fill or excavation) area is stabilised using turf, established grass seeding, mulch or </w:t>
            </w:r>
            <w:r w:rsidRPr="00392A79">
              <w:rPr>
                <w:rFonts w:ascii="Arial" w:eastAsiaTheme="minorEastAsia" w:hAnsi="Arial" w:cs="Arial"/>
                <w:sz w:val="20"/>
                <w:szCs w:val="20"/>
                <w:lang w:eastAsia="en-AU"/>
              </w:rPr>
              <w:lastRenderedPageBreak/>
              <w:t>sprayed stabilisation techniques to control erosion and sediment and dust from leaving the property.</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E42.4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Dust suppression measures are implemented during construction works to protect nearby premises from unreasonable dust impacts.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dust emissions extend beyond the boundaries of the site during soil disturbances and construction works. </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tc>
            </w:tr>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 haulage route must be identified and approved by Council where imported or exported material is transported to the site via a road of Local Collector standard or less, and:</w:t>
                  </w:r>
                </w:p>
                <w:p w:rsidR="00392A79" w:rsidRPr="0009358B" w:rsidRDefault="00392A79" w:rsidP="00502327">
                  <w:pPr>
                    <w:numPr>
                      <w:ilvl w:val="0"/>
                      <w:numId w:val="25"/>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the aggregate volume of imported or exported material is greater than 1000m</w:t>
                  </w:r>
                  <w:r w:rsidRPr="0009358B">
                    <w:rPr>
                      <w:rFonts w:ascii="Arial" w:eastAsiaTheme="minorEastAsia" w:hAnsi="Arial" w:cs="Arial"/>
                      <w:sz w:val="18"/>
                      <w:szCs w:val="20"/>
                      <w:vertAlign w:val="superscript"/>
                      <w:lang w:eastAsia="en-AU"/>
                    </w:rPr>
                    <w:t>3</w:t>
                  </w:r>
                  <w:r w:rsidRPr="0009358B">
                    <w:rPr>
                      <w:rFonts w:ascii="Arial" w:eastAsiaTheme="minorEastAsia" w:hAnsi="Arial" w:cs="Arial"/>
                      <w:sz w:val="18"/>
                      <w:szCs w:val="20"/>
                      <w:lang w:eastAsia="en-AU"/>
                    </w:rPr>
                    <w:t>; or</w:t>
                  </w:r>
                </w:p>
                <w:p w:rsidR="00392A79" w:rsidRPr="0009358B" w:rsidRDefault="00392A79" w:rsidP="00502327">
                  <w:pPr>
                    <w:numPr>
                      <w:ilvl w:val="0"/>
                      <w:numId w:val="25"/>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lastRenderedPageBreak/>
                    <w:t>the aggregate volume of imported or exported material is greater than 200m</w:t>
                  </w:r>
                  <w:r w:rsidRPr="0009358B">
                    <w:rPr>
                      <w:rFonts w:ascii="Arial" w:eastAsiaTheme="minorEastAsia" w:hAnsi="Arial" w:cs="Arial"/>
                      <w:sz w:val="18"/>
                      <w:szCs w:val="20"/>
                      <w:vertAlign w:val="superscript"/>
                      <w:lang w:eastAsia="en-AU"/>
                    </w:rPr>
                    <w:t>3</w:t>
                  </w:r>
                  <w:r w:rsidRPr="0009358B">
                    <w:rPr>
                      <w:rFonts w:ascii="Arial" w:eastAsiaTheme="minorEastAsia" w:hAnsi="Arial" w:cs="Arial"/>
                      <w:sz w:val="18"/>
                      <w:szCs w:val="20"/>
                      <w:lang w:eastAsia="en-AU"/>
                    </w:rPr>
                    <w:t xml:space="preserve"> per day; or</w:t>
                  </w:r>
                </w:p>
                <w:p w:rsidR="00392A79" w:rsidRPr="0009358B" w:rsidRDefault="00392A79" w:rsidP="00502327">
                  <w:pPr>
                    <w:numPr>
                      <w:ilvl w:val="0"/>
                      <w:numId w:val="25"/>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the proposed haulage route involves a vulnerable land use or shopping centre.</w:t>
                  </w:r>
                </w:p>
              </w:tc>
            </w:tr>
          </w:tbl>
          <w:p w:rsidR="00392A79" w:rsidRPr="00392A79" w:rsidRDefault="00392A79" w:rsidP="00392A79">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 dilapidation report (including photographs) may be required for the haulage route to demonstrate compliance with this PO.</w:t>
                  </w:r>
                </w:p>
              </w:tc>
            </w:tr>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 xml:space="preserve">Editor's note - Where associated with a State-controlled </w:t>
                  </w:r>
                  <w:proofErr w:type="gramStart"/>
                  <w:r w:rsidRPr="0009358B">
                    <w:rPr>
                      <w:rFonts w:ascii="Arial" w:eastAsiaTheme="minorEastAsia" w:hAnsi="Arial" w:cs="Arial"/>
                      <w:sz w:val="18"/>
                      <w:szCs w:val="20"/>
                      <w:lang w:eastAsia="en-AU"/>
                    </w:rPr>
                    <w:t>road ,</w:t>
                  </w:r>
                  <w:proofErr w:type="gramEnd"/>
                  <w:r w:rsidRPr="0009358B">
                    <w:rPr>
                      <w:rFonts w:ascii="Arial" w:eastAsiaTheme="minorEastAsia" w:hAnsi="Arial" w:cs="Arial"/>
                      <w:sz w:val="18"/>
                      <w:szCs w:val="20"/>
                      <w:lang w:eastAsia="en-AU"/>
                    </w:rPr>
                    <w:t xml:space="preserve"> further requirements may apply, and approval may be required from the Department of Transport and Main Roads.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E44.1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E44.2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contractor car parking is either provided on the development site, or on an alternative site in the general locality which has been set aside for car parking. Contractor vehicles are generally not to be parked in existing roads.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E44.3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 xml:space="preserve">Any material dropped, deposited or spilled on the roads as a result of construction processes associated with the site </w:t>
            </w:r>
            <w:proofErr w:type="gramStart"/>
            <w:r w:rsidRPr="00392A79">
              <w:rPr>
                <w:rFonts w:ascii="Arial" w:eastAsiaTheme="minorEastAsia" w:hAnsi="Arial" w:cs="Arial"/>
                <w:sz w:val="20"/>
                <w:szCs w:val="20"/>
                <w:lang w:eastAsia="en-AU"/>
              </w:rPr>
              <w:t>are to be cleaned at all times</w:t>
            </w:r>
            <w:proofErr w:type="gramEnd"/>
            <w:r w:rsidRPr="00392A79">
              <w:rPr>
                <w:rFonts w:ascii="Arial" w:eastAsiaTheme="minorEastAsia" w:hAnsi="Arial" w:cs="Arial"/>
                <w:sz w:val="20"/>
                <w:szCs w:val="20"/>
                <w:lang w:eastAsia="en-AU"/>
              </w:rPr>
              <w: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E44.4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road hierarchy is mapped on Overlay map - Road hierarchy.</w:t>
                  </w:r>
                </w:p>
              </w:tc>
            </w:tr>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 dilapidation report may be required to demonstrate compliance with this 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E44.5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E44.6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Access to the development site is obtained via an existing lawful access point.</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PO45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09358B"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Planning scheme policy - Integrated design for details and examples.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At completion of construction all disturbed areas of the site are to be:</w:t>
            </w:r>
          </w:p>
          <w:p w:rsidR="00392A79" w:rsidRPr="00392A79" w:rsidRDefault="00392A79" w:rsidP="00502327">
            <w:pPr>
              <w:numPr>
                <w:ilvl w:val="0"/>
                <w:numId w:val="2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topsoiled with a minimum compacted thickness of fifty (50) millimetres;</w:t>
            </w:r>
          </w:p>
          <w:p w:rsidR="00392A79" w:rsidRPr="00392A79" w:rsidRDefault="00392A79" w:rsidP="00502327">
            <w:pPr>
              <w:numPr>
                <w:ilvl w:val="0"/>
                <w:numId w:val="2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These areas are to be maintained during any maintenance period to maximise grass coverage.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Soil disturbances are staged into manageable areas of not greater than 3.5 ha.</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clearing of vegetation on-site:</w:t>
            </w:r>
          </w:p>
          <w:p w:rsidR="00392A79" w:rsidRPr="00392A79" w:rsidRDefault="00392A79" w:rsidP="00502327">
            <w:pPr>
              <w:numPr>
                <w:ilvl w:val="0"/>
                <w:numId w:val="2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limited to the area of infrastructure works, buildings areas and other necessary areas for the works;</w:t>
            </w:r>
          </w:p>
          <w:p w:rsidR="00392A79" w:rsidRPr="00392A79" w:rsidRDefault="00392A79" w:rsidP="00502327">
            <w:pPr>
              <w:numPr>
                <w:ilvl w:val="0"/>
                <w:numId w:val="2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includes the removal of declared weeds and other materials which are detrimental to the intended use of the land;</w:t>
            </w:r>
          </w:p>
          <w:p w:rsidR="00392A79" w:rsidRPr="00392A79" w:rsidRDefault="00392A79" w:rsidP="00502327">
            <w:pPr>
              <w:numPr>
                <w:ilvl w:val="0"/>
                <w:numId w:val="2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lastRenderedPageBreak/>
                    <w:t>Note - No burning of cleared vegetation is permitted.</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E47.1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No parking of vehicles or storage of machinery or goods is to occur in these areas during development works.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E47.2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Disposal of materials is managed in one or more of the following ways:</w:t>
            </w:r>
          </w:p>
          <w:p w:rsidR="00392A79" w:rsidRPr="00392A79" w:rsidRDefault="00392A79" w:rsidP="00502327">
            <w:pPr>
              <w:numPr>
                <w:ilvl w:val="0"/>
                <w:numId w:val="2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all cleared vegetation, declared weeds, stumps, rubbish, car bodies, scrap metal and the like are removed and disposed of in a Council land fill facility; or</w:t>
            </w:r>
          </w:p>
          <w:p w:rsidR="00392A79" w:rsidRPr="00392A79" w:rsidRDefault="00392A79" w:rsidP="00502327">
            <w:pPr>
              <w:numPr>
                <w:ilvl w:val="0"/>
                <w:numId w:val="28"/>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The chipped vegetation must be stored in an approved location.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3740"/>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development works are carried out at times which minimise noise impacts to residents. </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E48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development works are carried out within the following times: </w:t>
            </w:r>
          </w:p>
          <w:p w:rsidR="00392A79" w:rsidRPr="00392A79" w:rsidRDefault="00392A79" w:rsidP="00502327">
            <w:pPr>
              <w:numPr>
                <w:ilvl w:val="0"/>
                <w:numId w:val="2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Monday to Saturday (other than public holidays) between 6:30am and 6:30pm on the same day;</w:t>
            </w:r>
          </w:p>
          <w:p w:rsidR="00392A79" w:rsidRPr="00392A79" w:rsidRDefault="00392A79" w:rsidP="00502327">
            <w:pPr>
              <w:numPr>
                <w:ilvl w:val="0"/>
                <w:numId w:val="2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2985"/>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PO49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Earthworks</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600"/>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On-site earthworks are designed to consider the visual and amenity impact as they relate to:</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the natural topographical features of the site;</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short and long-term slope stability;</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soft or compressible foundation soils;</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reactive soils;</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low density or potentially collapsing soils;</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existing fills and soil contamination that may exist on-site;</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the stability and maintenance of steep slopes and batters;</w:t>
            </w:r>
          </w:p>
          <w:p w:rsidR="00392A79" w:rsidRPr="00392A79" w:rsidRDefault="00392A79" w:rsidP="00502327">
            <w:pPr>
              <w:numPr>
                <w:ilvl w:val="0"/>
                <w:numId w:val="3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excavation (cut) and fill and impacts on the amenity of adjoining lots (e.g. residential)</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Stabilisation measures are provided, as necessary, to ensure long-term stability and low maintenance of steep slopes and batters. </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236"/>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All fill </w:t>
            </w:r>
            <w:proofErr w:type="gramStart"/>
            <w:r w:rsidRPr="00392A79">
              <w:rPr>
                <w:rFonts w:ascii="Arial" w:eastAsiaTheme="minorEastAsia" w:hAnsi="Arial" w:cs="Arial"/>
                <w:sz w:val="20"/>
                <w:szCs w:val="20"/>
                <w:lang w:eastAsia="en-AU"/>
              </w:rPr>
              <w:t>batters</w:t>
            </w:r>
            <w:proofErr w:type="gramEnd"/>
            <w:r w:rsidRPr="00392A79">
              <w:rPr>
                <w:rFonts w:ascii="Arial" w:eastAsiaTheme="minorEastAsia" w:hAnsi="Arial" w:cs="Arial"/>
                <w:sz w:val="20"/>
                <w:szCs w:val="20"/>
                <w:lang w:eastAsia="en-AU"/>
              </w:rPr>
              <w:t xml:space="preserve"> steeper than 1 (V) in 6 (H) on residential lots are fully turfed to prevent scour and erosion.</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filling or excavation is contained within the site and is free draining.</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fill placed on-site is:</w:t>
            </w:r>
          </w:p>
          <w:p w:rsidR="00392A79" w:rsidRPr="00392A79" w:rsidRDefault="00392A79" w:rsidP="00502327">
            <w:pPr>
              <w:numPr>
                <w:ilvl w:val="0"/>
                <w:numId w:val="3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limited to that area necessary for the approved use;</w:t>
            </w:r>
          </w:p>
          <w:p w:rsidR="00392A79" w:rsidRPr="00392A79" w:rsidRDefault="00392A79" w:rsidP="00502327">
            <w:pPr>
              <w:numPr>
                <w:ilvl w:val="0"/>
                <w:numId w:val="31"/>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clean and uncontaminated (i.e. no building waste, concrete, green waste, actual acid sulfate soils, potential acid sulfate soils or contaminated material etc.).</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2092"/>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The site is </w:t>
            </w:r>
            <w:proofErr w:type="gramStart"/>
            <w:r w:rsidRPr="00392A79">
              <w:rPr>
                <w:rFonts w:ascii="Arial" w:eastAsiaTheme="minorEastAsia" w:hAnsi="Arial" w:cs="Arial"/>
                <w:sz w:val="20"/>
                <w:szCs w:val="20"/>
                <w:lang w:eastAsia="en-AU"/>
              </w:rPr>
              <w:t>prepared</w:t>
            </w:r>
            <w:proofErr w:type="gramEnd"/>
            <w:r w:rsidRPr="00392A79">
              <w:rPr>
                <w:rFonts w:ascii="Arial" w:eastAsiaTheme="minorEastAsia" w:hAnsi="Arial" w:cs="Arial"/>
                <w:sz w:val="20"/>
                <w:szCs w:val="20"/>
                <w:lang w:eastAsia="en-AU"/>
              </w:rPr>
              <w:t xml:space="preserve">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9"/>
            </w:tblGrid>
            <w:tr w:rsidR="00392A79" w:rsidRPr="00392A79" w:rsidTr="00392A79">
              <w:trPr>
                <w:tblCellSpacing w:w="15" w:type="dxa"/>
              </w:trPr>
              <w:tc>
                <w:tcPr>
                  <w:tcW w:w="4949"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E50.7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Inspection and certification of steep slopes and batters may be required by a suitably qualified and experienced RPEQ.</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Embankments are stepped, terraced and landscaped to not adversely impact on the visual amenity of the surrounding area.</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Any embankments more than 1.5 metres in height are stepped, terraced and landscaped.</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w:t>
            </w:r>
          </w:p>
          <w:p w:rsidR="00392A79" w:rsidRPr="00392A79" w:rsidRDefault="00392A79" w:rsidP="0009358B">
            <w:pPr>
              <w:spacing w:after="0" w:line="240" w:lineRule="auto"/>
              <w:jc w:val="center"/>
              <w:rPr>
                <w:rFonts w:ascii="Arial" w:eastAsia="Times New Roman" w:hAnsi="Arial" w:cs="Arial"/>
                <w:sz w:val="20"/>
                <w:szCs w:val="20"/>
                <w:lang w:eastAsia="en-AU"/>
              </w:rPr>
            </w:pPr>
            <w:r w:rsidRPr="00392A79">
              <w:rPr>
                <w:rFonts w:ascii="Arial" w:eastAsia="Times New Roman" w:hAnsi="Arial" w:cs="Arial"/>
                <w:b/>
                <w:bCs/>
                <w:sz w:val="20"/>
                <w:szCs w:val="20"/>
                <w:lang w:eastAsia="en-AU"/>
              </w:rPr>
              <w:t>Figure - Embankment</w:t>
            </w:r>
          </w:p>
          <w:p w:rsidR="00392A79" w:rsidRPr="00392A79" w:rsidRDefault="00392A79" w:rsidP="00392A79">
            <w:pPr>
              <w:spacing w:after="0" w:line="240" w:lineRule="auto"/>
              <w:rPr>
                <w:rFonts w:ascii="Arial" w:eastAsia="Times New Roman" w:hAnsi="Arial" w:cs="Arial"/>
                <w:sz w:val="20"/>
                <w:szCs w:val="20"/>
                <w:lang w:eastAsia="en-AU"/>
              </w:rPr>
            </w:pPr>
            <w:r w:rsidRPr="00392A79">
              <w:rPr>
                <w:rFonts w:ascii="Arial" w:eastAsia="Times New Roman" w:hAnsi="Arial" w:cs="Arial"/>
                <w:noProof/>
                <w:sz w:val="20"/>
                <w:szCs w:val="20"/>
                <w:lang w:eastAsia="en-AU"/>
              </w:rPr>
              <w:drawing>
                <wp:inline distT="0" distB="0" distL="0" distR="0" wp14:anchorId="0890A36B" wp14:editId="2FD9E363">
                  <wp:extent cx="3237532" cy="994867"/>
                  <wp:effectExtent l="0" t="0" r="1270" b="0"/>
                  <wp:docPr id="151" name="ID-2693407-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7-497650" descr="embankmen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16" r="4202"/>
                          <a:stretch/>
                        </pic:blipFill>
                        <pic:spPr bwMode="auto">
                          <a:xfrm>
                            <a:off x="0" y="0"/>
                            <a:ext cx="3261621" cy="10022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951"/>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PO52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Filling or excavation is undertaken in a manner that:</w:t>
            </w:r>
          </w:p>
          <w:p w:rsidR="00392A79" w:rsidRPr="00392A79" w:rsidRDefault="00392A79" w:rsidP="00502327">
            <w:pPr>
              <w:numPr>
                <w:ilvl w:val="0"/>
                <w:numId w:val="3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does not adversely impact on a Council or public sector </w:t>
            </w:r>
            <w:proofErr w:type="gramStart"/>
            <w:r w:rsidRPr="00392A79">
              <w:rPr>
                <w:rFonts w:ascii="Arial" w:eastAsiaTheme="minorEastAsia" w:hAnsi="Arial" w:cs="Arial"/>
                <w:sz w:val="20"/>
                <w:szCs w:val="20"/>
                <w:lang w:eastAsia="en-AU"/>
              </w:rPr>
              <w:t>entity maintained</w:t>
            </w:r>
            <w:proofErr w:type="gramEnd"/>
            <w:r w:rsidRPr="00392A79">
              <w:rPr>
                <w:rFonts w:ascii="Arial" w:eastAsiaTheme="minorEastAsia" w:hAnsi="Arial" w:cs="Arial"/>
                <w:sz w:val="20"/>
                <w:szCs w:val="20"/>
                <w:lang w:eastAsia="en-AU"/>
              </w:rPr>
              <w:t xml:space="preserve"> infrastructure or any drainage feature on, or adjacent to the land;</w:t>
            </w:r>
          </w:p>
          <w:p w:rsidR="00392A79" w:rsidRPr="00392A79" w:rsidRDefault="00392A79" w:rsidP="00502327">
            <w:pPr>
              <w:numPr>
                <w:ilvl w:val="0"/>
                <w:numId w:val="32"/>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does not preclude reasonable access to a Council or public sector </w:t>
            </w:r>
            <w:proofErr w:type="gramStart"/>
            <w:r w:rsidRPr="00392A79">
              <w:rPr>
                <w:rFonts w:ascii="Arial" w:eastAsiaTheme="minorEastAsia" w:hAnsi="Arial" w:cs="Arial"/>
                <w:sz w:val="20"/>
                <w:szCs w:val="20"/>
                <w:lang w:eastAsia="en-AU"/>
              </w:rPr>
              <w:t>entity maintained</w:t>
            </w:r>
            <w:proofErr w:type="gramEnd"/>
            <w:r w:rsidRPr="00392A79">
              <w:rPr>
                <w:rFonts w:ascii="Arial" w:eastAsiaTheme="minorEastAsia" w:hAnsi="Arial" w:cs="Arial"/>
                <w:sz w:val="20"/>
                <w:szCs w:val="20"/>
                <w:lang w:eastAsia="en-AU"/>
              </w:rPr>
              <w:t xml:space="preserve">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 xml:space="preserve">Note </w:t>
                  </w:r>
                  <w:proofErr w:type="gramStart"/>
                  <w:r w:rsidRPr="0009358B">
                    <w:rPr>
                      <w:rFonts w:ascii="Arial" w:eastAsiaTheme="minorEastAsia" w:hAnsi="Arial" w:cs="Arial"/>
                      <w:sz w:val="18"/>
                      <w:szCs w:val="20"/>
                      <w:lang w:eastAsia="en-AU"/>
                    </w:rPr>
                    <w:t>-  Public</w:t>
                  </w:r>
                  <w:proofErr w:type="gramEnd"/>
                  <w:r w:rsidRPr="0009358B">
                    <w:rPr>
                      <w:rFonts w:ascii="Arial" w:eastAsiaTheme="minorEastAsia" w:hAnsi="Arial" w:cs="Arial"/>
                      <w:sz w:val="18"/>
                      <w:szCs w:val="20"/>
                      <w:lang w:eastAsia="en-AU"/>
                    </w:rPr>
                    <w:t xml:space="preserve"> sector entity is defined in Schedule 2 of the Act.</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E52.1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Public sector entity is defined in Schedule 2 of the Act.</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E52.2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Earthworks that would result in any of the following are not carried out on-site:</w:t>
            </w:r>
          </w:p>
          <w:p w:rsidR="00392A79" w:rsidRPr="00392A79" w:rsidRDefault="00392A79" w:rsidP="00502327">
            <w:pPr>
              <w:numPr>
                <w:ilvl w:val="0"/>
                <w:numId w:val="3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 reduction in cover over the Council or public sector </w:t>
            </w:r>
            <w:proofErr w:type="gramStart"/>
            <w:r w:rsidRPr="00392A79">
              <w:rPr>
                <w:rFonts w:ascii="Arial" w:eastAsiaTheme="minorEastAsia" w:hAnsi="Arial" w:cs="Arial"/>
                <w:sz w:val="20"/>
                <w:szCs w:val="20"/>
                <w:lang w:eastAsia="en-AU"/>
              </w:rPr>
              <w:t>entity maintained</w:t>
            </w:r>
            <w:proofErr w:type="gramEnd"/>
            <w:r w:rsidRPr="00392A79">
              <w:rPr>
                <w:rFonts w:ascii="Arial" w:eastAsiaTheme="minorEastAsia" w:hAnsi="Arial" w:cs="Arial"/>
                <w:sz w:val="20"/>
                <w:szCs w:val="20"/>
                <w:lang w:eastAsia="en-AU"/>
              </w:rPr>
              <w:t xml:space="preserve"> service to less than 600mm;</w:t>
            </w:r>
          </w:p>
          <w:p w:rsidR="00392A79" w:rsidRPr="00392A79" w:rsidRDefault="00392A79" w:rsidP="00502327">
            <w:pPr>
              <w:numPr>
                <w:ilvl w:val="0"/>
                <w:numId w:val="3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an increase in finished surface grade over, or within 1.5m on each side of, the Council or public sector </w:t>
            </w:r>
            <w:proofErr w:type="gramStart"/>
            <w:r w:rsidRPr="00392A79">
              <w:rPr>
                <w:rFonts w:ascii="Arial" w:eastAsiaTheme="minorEastAsia" w:hAnsi="Arial" w:cs="Arial"/>
                <w:sz w:val="20"/>
                <w:szCs w:val="20"/>
                <w:lang w:eastAsia="en-AU"/>
              </w:rPr>
              <w:t>entity maintained</w:t>
            </w:r>
            <w:proofErr w:type="gramEnd"/>
            <w:r w:rsidRPr="00392A79">
              <w:rPr>
                <w:rFonts w:ascii="Arial" w:eastAsiaTheme="minorEastAsia" w:hAnsi="Arial" w:cs="Arial"/>
                <w:sz w:val="20"/>
                <w:szCs w:val="20"/>
                <w:lang w:eastAsia="en-AU"/>
              </w:rPr>
              <w:t xml:space="preserve"> infrastructure above that which existed prior to the earthworks being undertaken; and</w:t>
            </w:r>
          </w:p>
          <w:p w:rsidR="00392A79" w:rsidRPr="00392A79" w:rsidRDefault="00392A79" w:rsidP="00502327">
            <w:pPr>
              <w:numPr>
                <w:ilvl w:val="0"/>
                <w:numId w:val="3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prevent reasonable access to Council or public sector </w:t>
            </w:r>
            <w:proofErr w:type="gramStart"/>
            <w:r w:rsidRPr="00392A79">
              <w:rPr>
                <w:rFonts w:ascii="Arial" w:eastAsiaTheme="minorEastAsia" w:hAnsi="Arial" w:cs="Arial"/>
                <w:sz w:val="20"/>
                <w:szCs w:val="20"/>
                <w:lang w:eastAsia="en-AU"/>
              </w:rPr>
              <w:t>entity maintained</w:t>
            </w:r>
            <w:proofErr w:type="gramEnd"/>
            <w:r w:rsidRPr="00392A79">
              <w:rPr>
                <w:rFonts w:ascii="Arial" w:eastAsiaTheme="minorEastAsia" w:hAnsi="Arial" w:cs="Arial"/>
                <w:sz w:val="20"/>
                <w:szCs w:val="20"/>
                <w:lang w:eastAsia="en-AU"/>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Public sector entity is defined in Schedule 2 of the Act.</w:t>
                  </w:r>
                </w:p>
              </w:tc>
            </w:tr>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All building work covered by QDC MP1.4 is excluded from this provision.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958"/>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 xml:space="preserve">Note - Steep slopes and batters are inspected and certified for long-term stability by a suitably qualified and experienced </w:t>
                  </w:r>
                  <w:r w:rsidRPr="0009358B">
                    <w:rPr>
                      <w:rFonts w:ascii="Arial" w:eastAsiaTheme="minorEastAsia" w:hAnsi="Arial" w:cs="Arial"/>
                      <w:sz w:val="18"/>
                      <w:szCs w:val="20"/>
                      <w:lang w:eastAsia="en-AU"/>
                    </w:rPr>
                    <w:lastRenderedPageBreak/>
                    <w:t>geotechnical engineer with RPEQ qualifications. Stabilisation measures are provided, as necessary, to ensure long-term stability and low maintenance.</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rHeight w:val="4120"/>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Filling or excavation does not result in</w:t>
            </w:r>
          </w:p>
          <w:p w:rsidR="00392A79" w:rsidRPr="00392A79" w:rsidRDefault="00392A79" w:rsidP="00502327">
            <w:pPr>
              <w:numPr>
                <w:ilvl w:val="0"/>
                <w:numId w:val="3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adverse impacts on the hydrological and hydraulic capacity of the waterway or floodway;</w:t>
            </w:r>
          </w:p>
          <w:p w:rsidR="00392A79" w:rsidRPr="00392A79" w:rsidRDefault="00392A79" w:rsidP="00502327">
            <w:pPr>
              <w:numPr>
                <w:ilvl w:val="0"/>
                <w:numId w:val="3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increased flood inundation outside the site;</w:t>
            </w:r>
          </w:p>
          <w:p w:rsidR="00392A79" w:rsidRPr="00392A79" w:rsidRDefault="00392A79" w:rsidP="00502327">
            <w:pPr>
              <w:numPr>
                <w:ilvl w:val="0"/>
                <w:numId w:val="3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any reduction in the flood storage capacity in the floodway;</w:t>
            </w:r>
          </w:p>
          <w:p w:rsidR="00392A79" w:rsidRPr="00392A79" w:rsidRDefault="00392A79" w:rsidP="00502327">
            <w:pPr>
              <w:numPr>
                <w:ilvl w:val="0"/>
                <w:numId w:val="3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any clearing of native vegetation.</w:t>
            </w:r>
          </w:p>
          <w:tbl>
            <w:tblPr>
              <w:tblW w:w="516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5"/>
            </w:tblGrid>
            <w:tr w:rsidR="00392A79" w:rsidRPr="0009358B" w:rsidTr="0009358B">
              <w:trPr>
                <w:tblCellSpacing w:w="15" w:type="dxa"/>
              </w:trPr>
              <w:tc>
                <w:tcPr>
                  <w:tcW w:w="510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 xml:space="preserve">Note - To demonstrate compliance with this outcome, Planning scheme policy - Stormwater management provides guidance on the preparation of a </w:t>
                  </w:r>
                  <w:proofErr w:type="gramStart"/>
                  <w:r w:rsidRPr="0009358B">
                    <w:rPr>
                      <w:rFonts w:ascii="Arial" w:eastAsia="Times New Roman" w:hAnsi="Arial" w:cs="Arial"/>
                      <w:sz w:val="18"/>
                      <w:szCs w:val="20"/>
                      <w:lang w:eastAsia="en-AU"/>
                    </w:rPr>
                    <w:t>site based</w:t>
                  </w:r>
                  <w:proofErr w:type="gramEnd"/>
                  <w:r w:rsidRPr="0009358B">
                    <w:rPr>
                      <w:rFonts w:ascii="Arial" w:eastAsia="Times New Roman" w:hAnsi="Arial" w:cs="Arial"/>
                      <w:sz w:val="18"/>
                      <w:szCs w:val="20"/>
                      <w:lang w:eastAsia="en-AU"/>
                    </w:rPr>
                    <w:t xml:space="preserve"> stormwater management plan by a suitably qualified professional. Refer to Planning scheme policy - Integrated design for guidance on infrastructure design and modelling requirements.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Filling or excavation on the development site is undertaken in a manner which does not create or accentuate problems associated with stormwater flows and drainage systems on land adjoining the site.</w:t>
            </w:r>
          </w:p>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Filling and excavation undertaken on the development site are shaped in a manner which does not:</w:t>
            </w:r>
          </w:p>
          <w:p w:rsidR="00392A79" w:rsidRPr="00392A79" w:rsidRDefault="00392A79" w:rsidP="00502327">
            <w:pPr>
              <w:numPr>
                <w:ilvl w:val="0"/>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prevent stormwater surface flow which, prior to commencement of the earthworks, passed onto the development site, from entering the land; or</w:t>
            </w:r>
          </w:p>
          <w:p w:rsidR="00392A79" w:rsidRPr="00392A79" w:rsidRDefault="00392A79" w:rsidP="00502327">
            <w:pPr>
              <w:numPr>
                <w:ilvl w:val="0"/>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redirect stormwater surface flow away from existing flow paths; or</w:t>
            </w:r>
          </w:p>
          <w:p w:rsidR="00392A79" w:rsidRPr="00392A79" w:rsidRDefault="00392A79" w:rsidP="00502327">
            <w:pPr>
              <w:numPr>
                <w:ilvl w:val="0"/>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divert stormwater surface flow onto adjacent land, (other than a road), in a manner which: </w:t>
            </w:r>
          </w:p>
          <w:p w:rsidR="00392A79" w:rsidRPr="00392A79" w:rsidRDefault="00392A79" w:rsidP="00502327">
            <w:pPr>
              <w:numPr>
                <w:ilvl w:val="1"/>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concentrates the flow; or</w:t>
            </w:r>
          </w:p>
          <w:p w:rsidR="00392A79" w:rsidRPr="00392A79" w:rsidRDefault="00392A79" w:rsidP="00502327">
            <w:pPr>
              <w:numPr>
                <w:ilvl w:val="1"/>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increases the flow rate of stormwater over the affected section of the adjacent </w:t>
            </w:r>
            <w:r w:rsidRPr="00392A79">
              <w:rPr>
                <w:rFonts w:ascii="Arial" w:eastAsiaTheme="minorEastAsia" w:hAnsi="Arial" w:cs="Arial"/>
                <w:sz w:val="20"/>
                <w:szCs w:val="20"/>
                <w:lang w:eastAsia="en-AU"/>
              </w:rPr>
              <w:lastRenderedPageBreak/>
              <w:t>land above the situation which existed prior to the diversion; or</w:t>
            </w:r>
          </w:p>
          <w:p w:rsidR="00392A79" w:rsidRPr="00392A79" w:rsidRDefault="00392A79" w:rsidP="00502327">
            <w:pPr>
              <w:numPr>
                <w:ilvl w:val="1"/>
                <w:numId w:val="3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causes actionable nuisance to any person, property or premises.</w:t>
            </w:r>
          </w:p>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Note - Refer to Planning scheme policy - Residential design for guidance on how to achieve compliance with this performance outcome. </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Earth retaining structures:</w:t>
            </w:r>
          </w:p>
          <w:p w:rsidR="00392A79" w:rsidRPr="00392A79" w:rsidRDefault="00392A79" w:rsidP="00502327">
            <w:pPr>
              <w:numPr>
                <w:ilvl w:val="0"/>
                <w:numId w:val="3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are not constructed of boulder rocks or timber;</w:t>
            </w:r>
          </w:p>
          <w:p w:rsidR="00392A79" w:rsidRPr="00392A79" w:rsidRDefault="00392A79" w:rsidP="00502327">
            <w:pPr>
              <w:numPr>
                <w:ilvl w:val="0"/>
                <w:numId w:val="3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where height is no greater than 900mm, are provided in accordance with Figure - Retaining on a boundary;</w:t>
            </w:r>
          </w:p>
          <w:p w:rsidR="00392A79" w:rsidRPr="00392A79" w:rsidRDefault="00392A79" w:rsidP="00392A79">
            <w:pPr>
              <w:spacing w:before="100" w:beforeAutospacing="1" w:after="100" w:afterAutospacing="1" w:line="240" w:lineRule="auto"/>
              <w:jc w:val="center"/>
              <w:rPr>
                <w:rFonts w:ascii="Arial" w:eastAsiaTheme="minorEastAsia" w:hAnsi="Arial" w:cs="Arial"/>
                <w:sz w:val="20"/>
                <w:szCs w:val="20"/>
                <w:lang w:eastAsia="en-AU"/>
              </w:rPr>
            </w:pPr>
          </w:p>
          <w:p w:rsidR="00392A79" w:rsidRPr="00392A79" w:rsidRDefault="00392A79" w:rsidP="00392A79">
            <w:pPr>
              <w:spacing w:after="0" w:line="240" w:lineRule="auto"/>
              <w:rPr>
                <w:rFonts w:ascii="Arial" w:eastAsia="Times New Roman" w:hAnsi="Arial" w:cs="Arial"/>
                <w:sz w:val="20"/>
                <w:szCs w:val="20"/>
                <w:lang w:eastAsia="en-AU"/>
              </w:rPr>
            </w:pPr>
            <w:r w:rsidRPr="00392A79">
              <w:rPr>
                <w:rFonts w:ascii="Arial" w:eastAsia="Times New Roman" w:hAnsi="Arial" w:cs="Arial"/>
                <w:noProof/>
                <w:sz w:val="20"/>
                <w:szCs w:val="20"/>
                <w:lang w:eastAsia="en-AU"/>
              </w:rPr>
              <w:drawing>
                <wp:inline distT="0" distB="0" distL="0" distR="0" wp14:anchorId="54F52A8D" wp14:editId="5C6E380A">
                  <wp:extent cx="2876550" cy="1838325"/>
                  <wp:effectExtent l="0" t="0" r="0" b="9525"/>
                  <wp:docPr id="152"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392A79" w:rsidRPr="00392A79" w:rsidRDefault="00392A79" w:rsidP="00392A79">
            <w:pPr>
              <w:spacing w:after="0" w:line="240" w:lineRule="auto"/>
              <w:rPr>
                <w:rFonts w:ascii="Arial" w:eastAsia="Times New Roman" w:hAnsi="Arial" w:cs="Arial"/>
                <w:sz w:val="20"/>
                <w:szCs w:val="20"/>
                <w:lang w:eastAsia="en-AU"/>
              </w:rPr>
            </w:pPr>
          </w:p>
          <w:p w:rsidR="00392A79" w:rsidRPr="00392A79" w:rsidRDefault="00392A79" w:rsidP="00502327">
            <w:pPr>
              <w:numPr>
                <w:ilvl w:val="0"/>
                <w:numId w:val="3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where height is greater than 900mm but no greater than 1.5m, are to be setback at least the equivalent height of the retaining structure from any property boundary;</w:t>
            </w:r>
          </w:p>
          <w:p w:rsidR="00392A79" w:rsidRPr="00392A79" w:rsidRDefault="00392A79" w:rsidP="00502327">
            <w:pPr>
              <w:numPr>
                <w:ilvl w:val="0"/>
                <w:numId w:val="3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where height is greater than 1.5m, are to be setback and stepped 1.5m vertical: 1.5m </w:t>
            </w:r>
            <w:r w:rsidRPr="00392A79">
              <w:rPr>
                <w:rFonts w:ascii="Arial" w:eastAsia="Times New Roman" w:hAnsi="Arial" w:cs="Arial"/>
                <w:sz w:val="20"/>
                <w:szCs w:val="20"/>
                <w:lang w:eastAsia="en-AU"/>
              </w:rPr>
              <w:lastRenderedPageBreak/>
              <w:t>horizontal, terraced, landscaped and drained as shown below.</w:t>
            </w:r>
          </w:p>
          <w:p w:rsidR="00392A79" w:rsidRPr="00392A79" w:rsidRDefault="00392A79" w:rsidP="00392A79">
            <w:pPr>
              <w:spacing w:after="0" w:line="240" w:lineRule="auto"/>
              <w:rPr>
                <w:rFonts w:ascii="Arial" w:eastAsia="Times New Roman" w:hAnsi="Arial" w:cs="Arial"/>
                <w:sz w:val="20"/>
                <w:szCs w:val="20"/>
                <w:lang w:eastAsia="en-AU"/>
              </w:rPr>
            </w:pPr>
            <w:r w:rsidRPr="00392A79">
              <w:rPr>
                <w:rFonts w:ascii="Arial" w:eastAsia="Times New Roman" w:hAnsi="Arial" w:cs="Arial"/>
                <w:noProof/>
                <w:sz w:val="20"/>
                <w:szCs w:val="20"/>
                <w:lang w:eastAsia="en-AU"/>
              </w:rPr>
              <w:drawing>
                <wp:inline distT="0" distB="0" distL="0" distR="0" wp14:anchorId="0B68C927" wp14:editId="4DF997C3">
                  <wp:extent cx="2876550" cy="2533650"/>
                  <wp:effectExtent l="0" t="0" r="0" b="0"/>
                  <wp:docPr id="153"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392A79" w:rsidRPr="00392A79" w:rsidRDefault="00392A79" w:rsidP="00392A79">
            <w:pPr>
              <w:spacing w:after="240" w:line="240" w:lineRule="auto"/>
              <w:rPr>
                <w:rFonts w:ascii="Arial" w:eastAsia="Times New Roman" w:hAnsi="Arial" w:cs="Arial"/>
                <w:sz w:val="20"/>
                <w:szCs w:val="20"/>
                <w:lang w:eastAsia="en-AU"/>
              </w:rPr>
            </w:pPr>
          </w:p>
          <w:p w:rsidR="00392A79" w:rsidRPr="00392A79" w:rsidRDefault="00392A79" w:rsidP="00392A79">
            <w:pPr>
              <w:spacing w:after="0" w:line="240" w:lineRule="auto"/>
              <w:rPr>
                <w:rFonts w:ascii="Arial" w:eastAsia="Times New Roman" w:hAnsi="Arial" w:cs="Arial"/>
                <w:sz w:val="20"/>
                <w:szCs w:val="20"/>
                <w:lang w:eastAsia="en-AU"/>
              </w:rPr>
            </w:pPr>
            <w:r w:rsidRPr="00392A79">
              <w:rPr>
                <w:rFonts w:ascii="Arial" w:eastAsia="Times New Roman" w:hAnsi="Arial" w:cs="Arial"/>
                <w:noProof/>
                <w:sz w:val="20"/>
                <w:szCs w:val="20"/>
                <w:lang w:eastAsia="en-AU"/>
              </w:rPr>
              <w:lastRenderedPageBreak/>
              <w:drawing>
                <wp:inline distT="0" distB="0" distL="0" distR="0" wp14:anchorId="7B3FEF53" wp14:editId="5ECD3B09">
                  <wp:extent cx="2876550" cy="2600325"/>
                  <wp:effectExtent l="0" t="0" r="0" b="9525"/>
                  <wp:docPr id="154"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392A79" w:rsidRPr="00392A79" w:rsidRDefault="00392A79" w:rsidP="00392A79">
            <w:pPr>
              <w:spacing w:after="24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E913A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913AC" w:rsidRPr="00392A79" w:rsidRDefault="00E913AC"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E913AC" w:rsidRPr="003E5B10" w:rsidTr="00392A79">
              <w:trPr>
                <w:tblCellSpacing w:w="15" w:type="dxa"/>
              </w:trPr>
              <w:tc>
                <w:tcPr>
                  <w:tcW w:w="14944" w:type="dxa"/>
                  <w:vAlign w:val="center"/>
                  <w:hideMark/>
                </w:tcPr>
                <w:p w:rsidR="00E913AC" w:rsidRPr="003E5B10" w:rsidRDefault="00E913AC" w:rsidP="00392A79">
                  <w:pPr>
                    <w:spacing w:before="100" w:beforeAutospacing="1" w:after="100" w:afterAutospacing="1" w:line="240" w:lineRule="auto"/>
                    <w:rPr>
                      <w:rFonts w:ascii="Arial" w:eastAsiaTheme="minorEastAsia" w:hAnsi="Arial" w:cs="Arial"/>
                      <w:sz w:val="18"/>
                      <w:szCs w:val="18"/>
                      <w:lang w:eastAsia="en-AU"/>
                    </w:rPr>
                  </w:pPr>
                  <w:r w:rsidRPr="003E5B10">
                    <w:rPr>
                      <w:rFonts w:ascii="Arial" w:eastAsiaTheme="minorEastAsia" w:hAnsi="Arial" w:cs="Arial"/>
                      <w:sz w:val="18"/>
                      <w:szCs w:val="18"/>
                      <w:lang w:eastAsia="en-AU"/>
                    </w:rPr>
                    <w:t>Note - The provisions under this heading only apply if:</w:t>
                  </w:r>
                </w:p>
                <w:p w:rsidR="00E913AC" w:rsidRPr="003E5B10" w:rsidRDefault="00E913AC" w:rsidP="00502327">
                  <w:pPr>
                    <w:numPr>
                      <w:ilvl w:val="0"/>
                      <w:numId w:val="38"/>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the development is for, or incorporates:</w:t>
                  </w:r>
                </w:p>
                <w:p w:rsidR="00E913AC" w:rsidRPr="003E5B10" w:rsidRDefault="00E913AC" w:rsidP="00502327">
                  <w:pPr>
                    <w:numPr>
                      <w:ilvl w:val="1"/>
                      <w:numId w:val="38"/>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reconfiguring a lot for a community title scheme creating 1 or more vacant lots; or</w:t>
                  </w:r>
                </w:p>
                <w:p w:rsidR="00E913AC" w:rsidRPr="003E5B10" w:rsidRDefault="00E913AC" w:rsidP="00502327">
                  <w:pPr>
                    <w:numPr>
                      <w:ilvl w:val="1"/>
                      <w:numId w:val="38"/>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material change of use for 2 or more sole occupancy units on the same lot, or within the same community titles scheme; or</w:t>
                  </w:r>
                </w:p>
                <w:p w:rsidR="00E913AC" w:rsidRPr="003E5B10" w:rsidRDefault="00E913AC" w:rsidP="00502327">
                  <w:pPr>
                    <w:numPr>
                      <w:ilvl w:val="1"/>
                      <w:numId w:val="38"/>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material change of use for a Tourist park</w:t>
                  </w:r>
                  <w:r w:rsidRPr="003E5B10">
                    <w:rPr>
                      <w:rFonts w:ascii="Arial" w:eastAsia="Times New Roman" w:hAnsi="Arial" w:cs="Arial"/>
                      <w:sz w:val="18"/>
                      <w:szCs w:val="18"/>
                      <w:vertAlign w:val="superscript"/>
                      <w:lang w:eastAsia="en-AU"/>
                    </w:rPr>
                    <w:t>(</w:t>
                  </w:r>
                  <w:hyperlink r:id="rId12"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E5B10">
                      <w:rPr>
                        <w:rFonts w:ascii="Arial" w:eastAsia="Times New Roman" w:hAnsi="Arial" w:cs="Arial"/>
                        <w:color w:val="0000FF"/>
                        <w:sz w:val="18"/>
                        <w:szCs w:val="18"/>
                        <w:u w:val="single"/>
                        <w:vertAlign w:val="superscript"/>
                        <w:lang w:eastAsia="en-AU"/>
                      </w:rPr>
                      <w:t>84</w:t>
                    </w:r>
                  </w:hyperlink>
                  <w:r w:rsidRPr="003E5B10">
                    <w:rPr>
                      <w:rFonts w:ascii="Arial" w:eastAsia="Times New Roman" w:hAnsi="Arial" w:cs="Arial"/>
                      <w:sz w:val="18"/>
                      <w:szCs w:val="18"/>
                      <w:vertAlign w:val="superscript"/>
                      <w:lang w:eastAsia="en-AU"/>
                    </w:rPr>
                    <w:t>)</w:t>
                  </w:r>
                  <w:r w:rsidRPr="003E5B10">
                    <w:rPr>
                      <w:rFonts w:ascii="Arial" w:eastAsia="Times New Roman" w:hAnsi="Arial" w:cs="Arial"/>
                      <w:sz w:val="18"/>
                      <w:szCs w:val="18"/>
                      <w:lang w:eastAsia="en-AU"/>
                    </w:rPr>
                    <w:t xml:space="preserve"> with accommodation in the form of caravans or tents; or</w:t>
                  </w:r>
                </w:p>
                <w:p w:rsidR="00E913AC" w:rsidRPr="003E5B10" w:rsidRDefault="00E913AC" w:rsidP="00502327">
                  <w:pPr>
                    <w:numPr>
                      <w:ilvl w:val="1"/>
                      <w:numId w:val="38"/>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material change of use for outdoor sales</w:t>
                  </w:r>
                  <w:r w:rsidRPr="003E5B10">
                    <w:rPr>
                      <w:rFonts w:ascii="Arial" w:eastAsia="Times New Roman" w:hAnsi="Arial" w:cs="Arial"/>
                      <w:sz w:val="18"/>
                      <w:szCs w:val="18"/>
                      <w:vertAlign w:val="superscript"/>
                      <w:lang w:eastAsia="en-AU"/>
                    </w:rPr>
                    <w:t>(</w:t>
                  </w:r>
                  <w:hyperlink r:id="rId13"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E5B10">
                      <w:rPr>
                        <w:rFonts w:ascii="Arial" w:eastAsia="Times New Roman" w:hAnsi="Arial" w:cs="Arial"/>
                        <w:color w:val="0000FF"/>
                        <w:sz w:val="18"/>
                        <w:szCs w:val="18"/>
                        <w:u w:val="single"/>
                        <w:vertAlign w:val="superscript"/>
                        <w:lang w:eastAsia="en-AU"/>
                      </w:rPr>
                      <w:t>54</w:t>
                    </w:r>
                  </w:hyperlink>
                  <w:r w:rsidRPr="003E5B10">
                    <w:rPr>
                      <w:rFonts w:ascii="Arial" w:eastAsia="Times New Roman" w:hAnsi="Arial" w:cs="Arial"/>
                      <w:sz w:val="18"/>
                      <w:szCs w:val="18"/>
                      <w:vertAlign w:val="superscript"/>
                      <w:lang w:eastAsia="en-AU"/>
                    </w:rPr>
                    <w:t>)</w:t>
                  </w:r>
                  <w:r w:rsidRPr="003E5B10">
                    <w:rPr>
                      <w:rFonts w:ascii="Arial" w:eastAsia="Times New Roman" w:hAnsi="Arial" w:cs="Arial"/>
                      <w:sz w:val="18"/>
                      <w:szCs w:val="18"/>
                      <w:lang w:eastAsia="en-AU"/>
                    </w:rPr>
                    <w:t>, outdoor processing or outdoor storage where involving combustible materials.</w:t>
                  </w:r>
                </w:p>
                <w:p w:rsidR="00E913AC" w:rsidRPr="003E5B10" w:rsidRDefault="00E913AC" w:rsidP="00392A79">
                  <w:pPr>
                    <w:spacing w:before="100" w:beforeAutospacing="1" w:after="100" w:afterAutospacing="1" w:line="240" w:lineRule="auto"/>
                    <w:rPr>
                      <w:rFonts w:ascii="Arial" w:eastAsiaTheme="minorEastAsia" w:hAnsi="Arial" w:cs="Arial"/>
                      <w:sz w:val="18"/>
                      <w:szCs w:val="18"/>
                      <w:lang w:eastAsia="en-AU"/>
                    </w:rPr>
                  </w:pPr>
                  <w:r w:rsidRPr="003E5B10">
                    <w:rPr>
                      <w:rFonts w:ascii="Arial" w:eastAsiaTheme="minorEastAsia" w:hAnsi="Arial" w:cs="Arial"/>
                      <w:sz w:val="18"/>
                      <w:szCs w:val="18"/>
                      <w:lang w:eastAsia="en-AU"/>
                    </w:rPr>
                    <w:t>AND</w:t>
                  </w:r>
                </w:p>
                <w:p w:rsidR="00E913AC" w:rsidRPr="003E5B10" w:rsidRDefault="00E913AC" w:rsidP="00502327">
                  <w:pPr>
                    <w:numPr>
                      <w:ilvl w:val="0"/>
                      <w:numId w:val="39"/>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none of the following exceptions apply:</w:t>
                  </w:r>
                </w:p>
                <w:p w:rsidR="00E913AC" w:rsidRPr="003E5B10" w:rsidRDefault="00E913AC" w:rsidP="00502327">
                  <w:pPr>
                    <w:numPr>
                      <w:ilvl w:val="1"/>
                      <w:numId w:val="39"/>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 xml:space="preserve">the distributor-retailer for the area has indicated, in its </w:t>
                  </w:r>
                  <w:proofErr w:type="spellStart"/>
                  <w:r w:rsidRPr="003E5B10">
                    <w:rPr>
                      <w:rFonts w:ascii="Arial" w:eastAsia="Times New Roman" w:hAnsi="Arial" w:cs="Arial"/>
                      <w:sz w:val="18"/>
                      <w:szCs w:val="18"/>
                      <w:lang w:eastAsia="en-AU"/>
                    </w:rPr>
                    <w:t>netserv</w:t>
                  </w:r>
                  <w:proofErr w:type="spellEnd"/>
                  <w:r w:rsidRPr="003E5B10">
                    <w:rPr>
                      <w:rFonts w:ascii="Arial" w:eastAsia="Times New Roman" w:hAnsi="Arial" w:cs="Arial"/>
                      <w:sz w:val="18"/>
                      <w:szCs w:val="18"/>
                      <w:lang w:eastAsia="en-AU"/>
                    </w:rPr>
                    <w:t xml:space="preserve"> plan, that the premises will not be served by that entity’s reticulated water supply; or</w:t>
                  </w:r>
                </w:p>
                <w:p w:rsidR="00E913AC" w:rsidRPr="003E5B10" w:rsidRDefault="00E913AC" w:rsidP="00502327">
                  <w:pPr>
                    <w:numPr>
                      <w:ilvl w:val="1"/>
                      <w:numId w:val="39"/>
                    </w:numPr>
                    <w:spacing w:before="100" w:beforeAutospacing="1" w:after="100" w:afterAutospacing="1"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every part of the development site is within 60m walking distance of an existing fire hydrant on the distributor-retailer’s reticulated water supply network, measured around all obstructions, either on or adjacent to the site.</w:t>
                  </w:r>
                </w:p>
              </w:tc>
            </w:tr>
            <w:tr w:rsidR="00E913AC" w:rsidRPr="003E5B10" w:rsidTr="00392A79">
              <w:trPr>
                <w:tblCellSpacing w:w="15" w:type="dxa"/>
              </w:trPr>
              <w:tc>
                <w:tcPr>
                  <w:tcW w:w="14944" w:type="dxa"/>
                  <w:vAlign w:val="center"/>
                  <w:hideMark/>
                </w:tcPr>
                <w:p w:rsidR="00E913AC" w:rsidRPr="003E5B10" w:rsidRDefault="00E913AC" w:rsidP="00392A79">
                  <w:pPr>
                    <w:spacing w:after="0" w:line="240" w:lineRule="auto"/>
                    <w:rPr>
                      <w:rFonts w:ascii="Arial" w:eastAsia="Times New Roman" w:hAnsi="Arial" w:cs="Arial"/>
                      <w:sz w:val="18"/>
                      <w:szCs w:val="18"/>
                      <w:lang w:eastAsia="en-AU"/>
                    </w:rPr>
                  </w:pPr>
                  <w:r w:rsidRPr="003E5B10">
                    <w:rPr>
                      <w:rFonts w:ascii="Arial" w:eastAsia="Times New Roman" w:hAnsi="Arial" w:cs="Arial"/>
                      <w:sz w:val="18"/>
                      <w:szCs w:val="18"/>
                      <w:lang w:eastAsia="en-AU"/>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3E5B10">
                    <w:rPr>
                      <w:rFonts w:ascii="Arial" w:eastAsia="Times New Roman" w:hAnsi="Arial" w:cs="Arial"/>
                      <w:sz w:val="18"/>
                      <w:szCs w:val="18"/>
                      <w:lang w:eastAsia="en-AU"/>
                    </w:rPr>
                    <w:t>fire fighting</w:t>
                  </w:r>
                  <w:proofErr w:type="spellEnd"/>
                  <w:r w:rsidRPr="003E5B10">
                    <w:rPr>
                      <w:rFonts w:ascii="Arial" w:eastAsia="Times New Roman" w:hAnsi="Arial" w:cs="Arial"/>
                      <w:sz w:val="18"/>
                      <w:szCs w:val="18"/>
                      <w:lang w:eastAsia="en-AU"/>
                    </w:rPr>
                    <w:t xml:space="preserve"> facilities which provide equivalent protection.</w:t>
                  </w:r>
                </w:p>
              </w:tc>
            </w:tr>
          </w:tbl>
          <w:p w:rsidR="00E913AC" w:rsidRPr="00392A79" w:rsidRDefault="00E913AC"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PO57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incorporates a fire fighting system that:</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satisfies the reasonable needs of the </w:t>
            </w:r>
            <w:proofErr w:type="spellStart"/>
            <w:r w:rsidRPr="00392A79">
              <w:rPr>
                <w:rFonts w:ascii="Arial" w:eastAsia="Times New Roman" w:hAnsi="Arial" w:cs="Arial"/>
                <w:sz w:val="20"/>
                <w:szCs w:val="20"/>
                <w:lang w:eastAsia="en-AU"/>
              </w:rPr>
              <w:t>fire fighting</w:t>
            </w:r>
            <w:proofErr w:type="spellEnd"/>
            <w:r w:rsidRPr="00392A79">
              <w:rPr>
                <w:rFonts w:ascii="Arial" w:eastAsia="Times New Roman" w:hAnsi="Arial" w:cs="Arial"/>
                <w:sz w:val="20"/>
                <w:szCs w:val="20"/>
                <w:lang w:eastAsia="en-AU"/>
              </w:rPr>
              <w:t xml:space="preserve"> entity for the area;</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appropriate for the size, shape and topography of the development and its surrounds;</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is compatible with the operational equipment available to the </w:t>
            </w:r>
            <w:proofErr w:type="spellStart"/>
            <w:r w:rsidRPr="00392A79">
              <w:rPr>
                <w:rFonts w:ascii="Arial" w:eastAsia="Times New Roman" w:hAnsi="Arial" w:cs="Arial"/>
                <w:sz w:val="20"/>
                <w:szCs w:val="20"/>
                <w:lang w:eastAsia="en-AU"/>
              </w:rPr>
              <w:t>fire fighting</w:t>
            </w:r>
            <w:proofErr w:type="spellEnd"/>
            <w:r w:rsidRPr="00392A79">
              <w:rPr>
                <w:rFonts w:ascii="Arial" w:eastAsia="Times New Roman" w:hAnsi="Arial" w:cs="Arial"/>
                <w:sz w:val="20"/>
                <w:szCs w:val="20"/>
                <w:lang w:eastAsia="en-AU"/>
              </w:rPr>
              <w:t xml:space="preserve"> entity for the area;</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considers the fire hazard inherent in the materials comprising the development and their proximity to one another;</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considers the fire hazard inherent in the surrounds to the development site;</w:t>
            </w:r>
          </w:p>
          <w:p w:rsidR="00392A79" w:rsidRPr="00392A79" w:rsidRDefault="00392A79" w:rsidP="00502327">
            <w:pPr>
              <w:numPr>
                <w:ilvl w:val="0"/>
                <w:numId w:val="4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 xml:space="preserve">Note - The Queensland Fire and Emergency Services is the entity currently providing the </w:t>
                  </w:r>
                  <w:proofErr w:type="spellStart"/>
                  <w:r w:rsidRPr="0009358B">
                    <w:rPr>
                      <w:rFonts w:ascii="Arial" w:eastAsia="Times New Roman" w:hAnsi="Arial" w:cs="Arial"/>
                      <w:sz w:val="18"/>
                      <w:szCs w:val="20"/>
                      <w:lang w:eastAsia="en-AU"/>
                    </w:rPr>
                    <w:t>fire fighting</w:t>
                  </w:r>
                  <w:proofErr w:type="spellEnd"/>
                  <w:r w:rsidRPr="0009358B">
                    <w:rPr>
                      <w:rFonts w:ascii="Arial" w:eastAsia="Times New Roman" w:hAnsi="Arial" w:cs="Arial"/>
                      <w:sz w:val="18"/>
                      <w:szCs w:val="20"/>
                      <w:lang w:eastAsia="en-AU"/>
                    </w:rPr>
                    <w:t xml:space="preserve"> function for the urban areas of the Moreton Bay Region.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E57.1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External fire hydrant facilities are provided on site to the standard prescribed under the relevant parts of </w:t>
            </w:r>
            <w:r w:rsidRPr="00392A79">
              <w:rPr>
                <w:rFonts w:ascii="Arial" w:eastAsiaTheme="minorEastAsia" w:hAnsi="Arial" w:cs="Arial"/>
                <w:i/>
                <w:iCs/>
                <w:sz w:val="20"/>
                <w:szCs w:val="20"/>
                <w:lang w:eastAsia="en-AU"/>
              </w:rPr>
              <w:t>Australian Standard AS 2419.1 (2005) – Fire Hydrant Installations</w:t>
            </w:r>
            <w:r w:rsidRPr="00392A79">
              <w:rPr>
                <w:rFonts w:ascii="Arial" w:eastAsiaTheme="minorEastAsia"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For this requirement for accepted development, the following are the relevant parts of AS 2419.1 (2005) that may be applicable:</w:t>
                  </w:r>
                </w:p>
                <w:p w:rsidR="00392A79" w:rsidRPr="0009358B" w:rsidRDefault="00392A79" w:rsidP="00502327">
                  <w:pPr>
                    <w:numPr>
                      <w:ilvl w:val="0"/>
                      <w:numId w:val="41"/>
                    </w:numPr>
                    <w:spacing w:before="100" w:beforeAutospacing="1" w:after="100" w:afterAutospacing="1"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in regard to the form of any fire hydrant - Part 8.5 and Part 3.2.2.1, with the exception that for Tourist parks</w:t>
                  </w:r>
                  <w:r w:rsidRPr="0009358B">
                    <w:rPr>
                      <w:rFonts w:ascii="Arial" w:eastAsia="Times New Roman" w:hAnsi="Arial" w:cs="Arial"/>
                      <w:sz w:val="18"/>
                      <w:szCs w:val="20"/>
                      <w:vertAlign w:val="superscript"/>
                      <w:lang w:eastAsia="en-AU"/>
                    </w:rPr>
                    <w:t>(</w:t>
                  </w:r>
                  <w:hyperlink r:id="rId14"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9358B">
                      <w:rPr>
                        <w:rFonts w:ascii="Arial" w:eastAsia="Times New Roman" w:hAnsi="Arial" w:cs="Arial"/>
                        <w:color w:val="0000FF"/>
                        <w:sz w:val="18"/>
                        <w:szCs w:val="20"/>
                        <w:u w:val="single"/>
                        <w:vertAlign w:val="superscript"/>
                        <w:lang w:eastAsia="en-AU"/>
                      </w:rPr>
                      <w:t>84</w:t>
                    </w:r>
                  </w:hyperlink>
                  <w:r w:rsidRPr="0009358B">
                    <w:rPr>
                      <w:rFonts w:ascii="Arial" w:eastAsia="Times New Roman" w:hAnsi="Arial" w:cs="Arial"/>
                      <w:sz w:val="18"/>
                      <w:szCs w:val="20"/>
                      <w:vertAlign w:val="superscript"/>
                      <w:lang w:eastAsia="en-AU"/>
                    </w:rPr>
                    <w:t>)</w:t>
                  </w:r>
                  <w:r w:rsidRPr="0009358B">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w:t>
                  </w:r>
                </w:p>
                <w:p w:rsidR="00392A79" w:rsidRPr="0009358B" w:rsidRDefault="00392A79" w:rsidP="00502327">
                  <w:pPr>
                    <w:numPr>
                      <w:ilvl w:val="0"/>
                      <w:numId w:val="41"/>
                    </w:numPr>
                    <w:spacing w:before="100" w:beforeAutospacing="1" w:after="100" w:afterAutospacing="1" w:line="240" w:lineRule="auto"/>
                    <w:rPr>
                      <w:rFonts w:ascii="Arial" w:eastAsia="Times New Roman" w:hAnsi="Arial" w:cs="Arial"/>
                      <w:sz w:val="18"/>
                      <w:szCs w:val="20"/>
                      <w:lang w:eastAsia="en-AU"/>
                    </w:rPr>
                  </w:pPr>
                  <w:proofErr w:type="gramStart"/>
                  <w:r w:rsidRPr="0009358B">
                    <w:rPr>
                      <w:rFonts w:ascii="Arial" w:eastAsia="Times New Roman" w:hAnsi="Arial" w:cs="Arial"/>
                      <w:sz w:val="18"/>
                      <w:szCs w:val="20"/>
                      <w:lang w:eastAsia="en-AU"/>
                    </w:rPr>
                    <w:t>in regard to</w:t>
                  </w:r>
                  <w:proofErr w:type="gramEnd"/>
                  <w:r w:rsidRPr="0009358B">
                    <w:rPr>
                      <w:rFonts w:ascii="Arial" w:eastAsia="Times New Roman" w:hAnsi="Arial" w:cs="Arial"/>
                      <w:sz w:val="18"/>
                      <w:szCs w:val="20"/>
                      <w:lang w:eastAsia="en-AU"/>
                    </w:rPr>
                    <w:t xml:space="preserve"> the general locational requirements for fire hydrants - Part 3.2.2.2 (a), (e), (f), (g) and (h) as well as Appendix B of AS 2419.1 (2005);</w:t>
                  </w:r>
                </w:p>
                <w:p w:rsidR="00392A79" w:rsidRPr="0009358B" w:rsidRDefault="00392A79" w:rsidP="00502327">
                  <w:pPr>
                    <w:numPr>
                      <w:ilvl w:val="0"/>
                      <w:numId w:val="41"/>
                    </w:numPr>
                    <w:spacing w:before="100" w:beforeAutospacing="1" w:after="100" w:afterAutospacing="1" w:line="240" w:lineRule="auto"/>
                    <w:rPr>
                      <w:rFonts w:ascii="Arial" w:eastAsia="Times New Roman" w:hAnsi="Arial" w:cs="Arial"/>
                      <w:sz w:val="18"/>
                      <w:szCs w:val="20"/>
                      <w:lang w:eastAsia="en-AU"/>
                    </w:rPr>
                  </w:pPr>
                  <w:proofErr w:type="gramStart"/>
                  <w:r w:rsidRPr="0009358B">
                    <w:rPr>
                      <w:rFonts w:ascii="Arial" w:eastAsia="Times New Roman" w:hAnsi="Arial" w:cs="Arial"/>
                      <w:sz w:val="18"/>
                      <w:szCs w:val="20"/>
                      <w:lang w:eastAsia="en-AU"/>
                    </w:rPr>
                    <w:t>in regard to</w:t>
                  </w:r>
                  <w:proofErr w:type="gramEnd"/>
                  <w:r w:rsidRPr="0009358B">
                    <w:rPr>
                      <w:rFonts w:ascii="Arial" w:eastAsia="Times New Roman" w:hAnsi="Arial" w:cs="Arial"/>
                      <w:sz w:val="18"/>
                      <w:szCs w:val="20"/>
                      <w:lang w:eastAsia="en-AU"/>
                    </w:rPr>
                    <w:t xml:space="preserve"> the proximity of hydrants to buildings and other facilities - Part 3.2.2.2 (b), (c) and (d), with the exception that:</w:t>
                  </w:r>
                </w:p>
                <w:p w:rsidR="00392A79" w:rsidRPr="0009358B" w:rsidRDefault="00392A79" w:rsidP="00502327">
                  <w:pPr>
                    <w:numPr>
                      <w:ilvl w:val="1"/>
                      <w:numId w:val="41"/>
                    </w:numPr>
                    <w:spacing w:before="100" w:beforeAutospacing="1" w:after="100" w:afterAutospacing="1"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 xml:space="preserve">for dwellings and their associated outbuildings, hydrant coverage </w:t>
                  </w:r>
                  <w:r w:rsidRPr="0009358B">
                    <w:rPr>
                      <w:rFonts w:ascii="Arial" w:eastAsia="Times New Roman" w:hAnsi="Arial" w:cs="Arial"/>
                      <w:sz w:val="16"/>
                      <w:szCs w:val="20"/>
                      <w:lang w:eastAsia="en-AU"/>
                    </w:rPr>
                    <w:t xml:space="preserve">need </w:t>
                  </w:r>
                  <w:r w:rsidRPr="0009358B">
                    <w:rPr>
                      <w:rFonts w:ascii="Arial" w:eastAsia="Times New Roman" w:hAnsi="Arial" w:cs="Arial"/>
                      <w:sz w:val="18"/>
                      <w:szCs w:val="20"/>
                      <w:lang w:eastAsia="en-AU"/>
                    </w:rPr>
                    <w:t>only extend to the roof and external walls of those buildings;</w:t>
                  </w:r>
                </w:p>
                <w:p w:rsidR="00392A79" w:rsidRPr="0009358B" w:rsidRDefault="00392A79" w:rsidP="00502327">
                  <w:pPr>
                    <w:numPr>
                      <w:ilvl w:val="1"/>
                      <w:numId w:val="41"/>
                    </w:numPr>
                    <w:spacing w:before="100" w:beforeAutospacing="1" w:after="100" w:afterAutospacing="1"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for caravans and tents, hydrant coverage need only extend to the roof of those tents and caravans;</w:t>
                  </w:r>
                </w:p>
                <w:p w:rsidR="00392A79" w:rsidRPr="0009358B" w:rsidRDefault="00392A79" w:rsidP="00502327">
                  <w:pPr>
                    <w:numPr>
                      <w:ilvl w:val="1"/>
                      <w:numId w:val="41"/>
                    </w:numPr>
                    <w:spacing w:before="100" w:beforeAutospacing="1" w:after="100" w:afterAutospacing="1"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for outdoor sales</w:t>
                  </w:r>
                  <w:r w:rsidRPr="0009358B">
                    <w:rPr>
                      <w:rFonts w:ascii="Arial" w:eastAsia="Times New Roman" w:hAnsi="Arial" w:cs="Arial"/>
                      <w:sz w:val="18"/>
                      <w:szCs w:val="20"/>
                      <w:vertAlign w:val="superscript"/>
                      <w:lang w:eastAsia="en-AU"/>
                    </w:rPr>
                    <w:t>(</w:t>
                  </w:r>
                  <w:hyperlink r:id="rId15"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9358B">
                      <w:rPr>
                        <w:rFonts w:ascii="Arial" w:eastAsia="Times New Roman" w:hAnsi="Arial" w:cs="Arial"/>
                        <w:color w:val="0000FF"/>
                        <w:sz w:val="18"/>
                        <w:szCs w:val="20"/>
                        <w:u w:val="single"/>
                        <w:vertAlign w:val="superscript"/>
                        <w:lang w:eastAsia="en-AU"/>
                      </w:rPr>
                      <w:t>54</w:t>
                    </w:r>
                  </w:hyperlink>
                  <w:r w:rsidRPr="0009358B">
                    <w:rPr>
                      <w:rFonts w:ascii="Arial" w:eastAsia="Times New Roman" w:hAnsi="Arial" w:cs="Arial"/>
                      <w:sz w:val="18"/>
                      <w:szCs w:val="20"/>
                      <w:vertAlign w:val="superscript"/>
                      <w:lang w:eastAsia="en-AU"/>
                    </w:rPr>
                    <w:t>)</w:t>
                  </w:r>
                  <w:r w:rsidRPr="0009358B">
                    <w:rPr>
                      <w:rFonts w:ascii="Arial" w:eastAsia="Times New Roman" w:hAnsi="Arial" w:cs="Arial"/>
                      <w:sz w:val="18"/>
                      <w:szCs w:val="20"/>
                      <w:lang w:eastAsia="en-AU"/>
                    </w:rPr>
                    <w:t>, processing or storage facilities, hydrant coverage is required across the entire area of the outdoor sales</w:t>
                  </w:r>
                  <w:r w:rsidRPr="0009358B">
                    <w:rPr>
                      <w:rFonts w:ascii="Arial" w:eastAsia="Times New Roman" w:hAnsi="Arial" w:cs="Arial"/>
                      <w:sz w:val="18"/>
                      <w:szCs w:val="20"/>
                      <w:vertAlign w:val="superscript"/>
                      <w:lang w:eastAsia="en-AU"/>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9358B">
                      <w:rPr>
                        <w:rFonts w:ascii="Arial" w:eastAsia="Times New Roman" w:hAnsi="Arial" w:cs="Arial"/>
                        <w:color w:val="0000FF"/>
                        <w:sz w:val="18"/>
                        <w:szCs w:val="20"/>
                        <w:u w:val="single"/>
                        <w:vertAlign w:val="superscript"/>
                        <w:lang w:eastAsia="en-AU"/>
                      </w:rPr>
                      <w:t>54</w:t>
                    </w:r>
                  </w:hyperlink>
                  <w:r w:rsidRPr="0009358B">
                    <w:rPr>
                      <w:rFonts w:ascii="Arial" w:eastAsia="Times New Roman" w:hAnsi="Arial" w:cs="Arial"/>
                      <w:sz w:val="18"/>
                      <w:szCs w:val="20"/>
                      <w:vertAlign w:val="superscript"/>
                      <w:lang w:eastAsia="en-AU"/>
                    </w:rPr>
                    <w:t>)</w:t>
                  </w:r>
                  <w:r w:rsidRPr="0009358B">
                    <w:rPr>
                      <w:rFonts w:ascii="Arial" w:eastAsia="Times New Roman" w:hAnsi="Arial" w:cs="Arial"/>
                      <w:sz w:val="18"/>
                      <w:szCs w:val="20"/>
                      <w:lang w:eastAsia="en-AU"/>
                    </w:rPr>
                    <w:t>, outdoor processing and outdoor storage facilities;</w:t>
                  </w:r>
                </w:p>
                <w:p w:rsidR="00392A79" w:rsidRPr="00392A79" w:rsidRDefault="00392A79" w:rsidP="00502327">
                  <w:pPr>
                    <w:numPr>
                      <w:ilvl w:val="0"/>
                      <w:numId w:val="41"/>
                    </w:numPr>
                    <w:spacing w:before="100" w:beforeAutospacing="1" w:after="100" w:afterAutospacing="1" w:line="240" w:lineRule="auto"/>
                    <w:rPr>
                      <w:rFonts w:ascii="Arial" w:eastAsia="Times New Roman" w:hAnsi="Arial" w:cs="Arial"/>
                      <w:sz w:val="20"/>
                      <w:szCs w:val="20"/>
                      <w:lang w:eastAsia="en-AU"/>
                    </w:rPr>
                  </w:pPr>
                  <w:proofErr w:type="gramStart"/>
                  <w:r w:rsidRPr="0009358B">
                    <w:rPr>
                      <w:rFonts w:ascii="Arial" w:eastAsia="Times New Roman" w:hAnsi="Arial" w:cs="Arial"/>
                      <w:sz w:val="18"/>
                      <w:szCs w:val="20"/>
                      <w:lang w:eastAsia="en-AU"/>
                    </w:rPr>
                    <w:t>in regard to</w:t>
                  </w:r>
                  <w:proofErr w:type="gramEnd"/>
                  <w:r w:rsidRPr="0009358B">
                    <w:rPr>
                      <w:rFonts w:ascii="Arial" w:eastAsia="Times New Roman" w:hAnsi="Arial" w:cs="Arial"/>
                      <w:sz w:val="18"/>
                      <w:szCs w:val="20"/>
                      <w:lang w:eastAsia="en-AU"/>
                    </w:rPr>
                    <w:t xml:space="preserve"> fire hydrant accessibility and clearance requirements - Part 3.5 and, where applicable, Part 3.6.</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E57.2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continuous path of travel having the following characteristics is provided between the vehicle access point to the site and each external fire hydrant and hydrant booster point on the land:</w:t>
            </w:r>
          </w:p>
          <w:p w:rsidR="00392A79" w:rsidRPr="00392A79" w:rsidRDefault="00392A79" w:rsidP="00502327">
            <w:pPr>
              <w:numPr>
                <w:ilvl w:val="0"/>
                <w:numId w:val="4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an unobstructed width of no less than 3.5m;</w:t>
            </w:r>
          </w:p>
          <w:p w:rsidR="00392A79" w:rsidRPr="00392A79" w:rsidRDefault="00392A79" w:rsidP="00502327">
            <w:pPr>
              <w:numPr>
                <w:ilvl w:val="0"/>
                <w:numId w:val="4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an unobstructed height of no less than 4.8m;</w:t>
            </w:r>
          </w:p>
          <w:p w:rsidR="00392A79" w:rsidRPr="00392A79" w:rsidRDefault="00392A79" w:rsidP="00502327">
            <w:pPr>
              <w:numPr>
                <w:ilvl w:val="0"/>
                <w:numId w:val="4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constructed to be readily traversed by a 17 tonne HRV fire brigade pumping appliance;</w:t>
            </w:r>
          </w:p>
          <w:p w:rsidR="00392A79" w:rsidRPr="00392A79" w:rsidRDefault="00392A79" w:rsidP="00502327">
            <w:pPr>
              <w:numPr>
                <w:ilvl w:val="0"/>
                <w:numId w:val="4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an area for a fire brigade pumping appliance to stand within 20m of each fire hydrant and 8m of each hydrant booster point.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E57.3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On-site fire hydrant facilities are maintained in effective operating order in a manner prescribed in </w:t>
            </w:r>
            <w:r w:rsidRPr="00392A79">
              <w:rPr>
                <w:rFonts w:ascii="Arial" w:eastAsiaTheme="minorEastAsia" w:hAnsi="Arial" w:cs="Arial"/>
                <w:i/>
                <w:iCs/>
                <w:sz w:val="20"/>
                <w:szCs w:val="20"/>
                <w:lang w:eastAsia="en-AU"/>
              </w:rPr>
              <w:t>Australian Standard AS1851 (2012) – Routine service of fire protection systems and equipment</w:t>
            </w:r>
            <w:r w:rsidRPr="00392A79">
              <w:rPr>
                <w:rFonts w:ascii="Arial" w:eastAsiaTheme="minorEastAsia" w:hAnsi="Arial" w:cs="Arial"/>
                <w:sz w:val="20"/>
                <w:szCs w:val="20"/>
                <w:lang w:eastAsia="en-AU"/>
              </w:rPr>
              <w: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On-site fire hydrants that are external to buildings, as well as the available </w:t>
            </w:r>
            <w:proofErr w:type="spellStart"/>
            <w:r w:rsidRPr="00392A79">
              <w:rPr>
                <w:rFonts w:ascii="Arial" w:eastAsiaTheme="minorEastAsia" w:hAnsi="Arial" w:cs="Arial"/>
                <w:sz w:val="20"/>
                <w:szCs w:val="20"/>
                <w:lang w:eastAsia="en-AU"/>
              </w:rPr>
              <w:t>fire fighting</w:t>
            </w:r>
            <w:proofErr w:type="spellEnd"/>
            <w:r w:rsidRPr="00392A79">
              <w:rPr>
                <w:rFonts w:ascii="Arial" w:eastAsiaTheme="minorEastAsia" w:hAnsi="Arial" w:cs="Arial"/>
                <w:sz w:val="20"/>
                <w:szCs w:val="20"/>
                <w:lang w:eastAsia="en-AU"/>
              </w:rPr>
              <w:t xml:space="preserve"> appliance access routes to those hydrants, </w:t>
            </w:r>
            <w:proofErr w:type="gramStart"/>
            <w:r w:rsidRPr="00392A79">
              <w:rPr>
                <w:rFonts w:ascii="Arial" w:eastAsiaTheme="minorEastAsia" w:hAnsi="Arial" w:cs="Arial"/>
                <w:sz w:val="20"/>
                <w:szCs w:val="20"/>
                <w:lang w:eastAsia="en-AU"/>
              </w:rPr>
              <w:t>can be readily identified at all times</w:t>
            </w:r>
            <w:proofErr w:type="gramEnd"/>
            <w:r w:rsidRPr="00392A79">
              <w:rPr>
                <w:rFonts w:ascii="Arial" w:eastAsiaTheme="minorEastAsia" w:hAnsi="Arial" w:cs="Arial"/>
                <w:sz w:val="20"/>
                <w:szCs w:val="20"/>
                <w:lang w:eastAsia="en-AU"/>
              </w:rPr>
              <w:t xml:space="preserve"> from, or at, the vehicular entry point to the development site.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For development that contains on-site fire hydrants external to buildings:</w:t>
            </w:r>
          </w:p>
          <w:p w:rsidR="00392A79" w:rsidRPr="00392A79" w:rsidRDefault="00392A79" w:rsidP="00502327">
            <w:pPr>
              <w:numPr>
                <w:ilvl w:val="0"/>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those external hydrants can be seen from the vehicular entry point to the site; or</w:t>
            </w:r>
          </w:p>
          <w:p w:rsidR="00392A79" w:rsidRPr="00392A79" w:rsidRDefault="00392A79" w:rsidP="00502327">
            <w:pPr>
              <w:numPr>
                <w:ilvl w:val="0"/>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sign identifying the following is provided at the vehicular entry point to the site:</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overall layout of the development (to scale);</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internal road names (where used);</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communal facilities (where provided);</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reception area and on-site manager’s office (where provided);</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external hydrants and hydrant booster points;</w:t>
            </w:r>
          </w:p>
          <w:p w:rsidR="00392A79" w:rsidRPr="00392A79" w:rsidRDefault="00392A79" w:rsidP="00502327">
            <w:pPr>
              <w:numPr>
                <w:ilvl w:val="1"/>
                <w:numId w:val="43"/>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physical constraints within the internal roadway system which would restrict access by </w:t>
            </w:r>
            <w:proofErr w:type="spellStart"/>
            <w:r w:rsidRPr="00392A79">
              <w:rPr>
                <w:rFonts w:ascii="Arial" w:eastAsiaTheme="minorEastAsia" w:hAnsi="Arial" w:cs="Arial"/>
                <w:sz w:val="20"/>
                <w:szCs w:val="20"/>
                <w:lang w:eastAsia="en-AU"/>
              </w:rPr>
              <w:t>fire fighting</w:t>
            </w:r>
            <w:proofErr w:type="spellEnd"/>
            <w:r w:rsidRPr="00392A79">
              <w:rPr>
                <w:rFonts w:ascii="Arial" w:eastAsiaTheme="minorEastAsia" w:hAnsi="Arial" w:cs="Arial"/>
                <w:sz w:val="20"/>
                <w:szCs w:val="20"/>
                <w:lang w:eastAsia="en-AU"/>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The sign prescribed above, and the graphics used are to be:</w:t>
                  </w:r>
                </w:p>
                <w:p w:rsidR="00392A79" w:rsidRPr="0009358B" w:rsidRDefault="00392A79" w:rsidP="00502327">
                  <w:pPr>
                    <w:numPr>
                      <w:ilvl w:val="0"/>
                      <w:numId w:val="44"/>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in a form;</w:t>
                  </w:r>
                </w:p>
                <w:p w:rsidR="00392A79" w:rsidRPr="0009358B" w:rsidRDefault="00392A79" w:rsidP="00502327">
                  <w:pPr>
                    <w:numPr>
                      <w:ilvl w:val="0"/>
                      <w:numId w:val="44"/>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of a size;</w:t>
                  </w:r>
                </w:p>
                <w:p w:rsidR="00392A79" w:rsidRPr="0009358B" w:rsidRDefault="00392A79" w:rsidP="00502327">
                  <w:pPr>
                    <w:numPr>
                      <w:ilvl w:val="0"/>
                      <w:numId w:val="44"/>
                    </w:num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illuminated to a level;</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09358B">
                    <w:rPr>
                      <w:rFonts w:ascii="Arial" w:eastAsiaTheme="minorEastAsia" w:hAnsi="Arial" w:cs="Arial"/>
                      <w:sz w:val="18"/>
                      <w:szCs w:val="20"/>
                      <w:lang w:eastAsia="en-AU"/>
                    </w:rPr>
                    <w:t xml:space="preserve">which allows the information on the sign to be readily understood, </w:t>
                  </w:r>
                  <w:proofErr w:type="gramStart"/>
                  <w:r w:rsidRPr="0009358B">
                    <w:rPr>
                      <w:rFonts w:ascii="Arial" w:eastAsiaTheme="minorEastAsia" w:hAnsi="Arial" w:cs="Arial"/>
                      <w:sz w:val="18"/>
                      <w:szCs w:val="20"/>
                      <w:lang w:eastAsia="en-AU"/>
                    </w:rPr>
                    <w:t>at all times</w:t>
                  </w:r>
                  <w:proofErr w:type="gramEnd"/>
                  <w:r w:rsidRPr="0009358B">
                    <w:rPr>
                      <w:rFonts w:ascii="Arial" w:eastAsiaTheme="minorEastAsia" w:hAnsi="Arial" w:cs="Arial"/>
                      <w:sz w:val="18"/>
                      <w:szCs w:val="20"/>
                      <w:lang w:eastAsia="en-AU"/>
                    </w:rPr>
                    <w:t>, by a person in a fire fighting appliance up to 4.5m from the sign.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PO59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Each on-site fire hydrant that is external to a building is signposted in a way that </w:t>
            </w:r>
            <w:proofErr w:type="gramStart"/>
            <w:r w:rsidRPr="00392A79">
              <w:rPr>
                <w:rFonts w:ascii="Arial" w:eastAsiaTheme="minorEastAsia" w:hAnsi="Arial" w:cs="Arial"/>
                <w:sz w:val="20"/>
                <w:szCs w:val="20"/>
                <w:lang w:eastAsia="en-AU"/>
              </w:rPr>
              <w:t>enables it to be readily identified at all times</w:t>
            </w:r>
            <w:proofErr w:type="gramEnd"/>
            <w:r w:rsidRPr="00392A79">
              <w:rPr>
                <w:rFonts w:ascii="Arial" w:eastAsiaTheme="minorEastAsia" w:hAnsi="Arial" w:cs="Arial"/>
                <w:sz w:val="20"/>
                <w:szCs w:val="20"/>
                <w:lang w:eastAsia="en-AU"/>
              </w:rPr>
              <w:t xml:space="preserve"> by the occupants of any firefighting appliance traversing the development site.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E59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392A79">
              <w:rPr>
                <w:rFonts w:ascii="Arial" w:eastAsiaTheme="minorEastAsia" w:hAnsi="Arial" w:cs="Arial"/>
                <w:i/>
                <w:iCs/>
                <w:sz w:val="20"/>
                <w:szCs w:val="20"/>
                <w:lang w:eastAsia="en-AU"/>
              </w:rPr>
              <w:t>Fire hydrant indication system</w:t>
            </w:r>
            <w:r w:rsidRPr="00392A79">
              <w:rPr>
                <w:rFonts w:ascii="Arial" w:eastAsiaTheme="minorEastAsia" w:hAnsi="Arial" w:cs="Arial"/>
                <w:sz w:val="20"/>
                <w:szCs w:val="20"/>
                <w:lang w:eastAsia="en-AU"/>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Technical note Fire hydrant indication system is available on the website of the Queensland Department of Transport and Main Roads.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jc w:val="center"/>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Use specific criteria</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jc w:val="center"/>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jc w:val="center"/>
              <w:rPr>
                <w:rFonts w:ascii="Arial" w:eastAsiaTheme="minorEastAsia" w:hAnsi="Arial" w:cs="Arial"/>
                <w:b/>
                <w:bCs/>
                <w:sz w:val="20"/>
                <w:szCs w:val="20"/>
                <w:lang w:eastAsia="en-AU"/>
              </w:rPr>
            </w:pPr>
          </w:p>
        </w:tc>
      </w:tr>
      <w:tr w:rsidR="00392A79" w:rsidRPr="00392A79" w:rsidTr="005D01EC">
        <w:trPr>
          <w:trHeight w:val="300"/>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Caretaker's accommodation</w:t>
            </w:r>
            <w:r w:rsidRPr="00392A79">
              <w:rPr>
                <w:rFonts w:ascii="Arial" w:eastAsiaTheme="minorEastAsia" w:hAnsi="Arial" w:cs="Arial"/>
                <w:sz w:val="20"/>
                <w:szCs w:val="20"/>
                <w:vertAlign w:val="superscript"/>
                <w:lang w:eastAsia="en-AU"/>
              </w:rPr>
              <w:t>(</w:t>
            </w:r>
            <w:hyperlink r:id="rId17" w:anchor="target-d768251e570643" w:tooltip="Caretaker’s accommodation - A dwelling provided for a caretaker of a non-residential use on the same premises." w:history="1">
              <w:r w:rsidRPr="00392A79">
                <w:rPr>
                  <w:rFonts w:ascii="Arial" w:eastAsiaTheme="minorEastAsia" w:hAnsi="Arial" w:cs="Arial"/>
                  <w:color w:val="0000FF"/>
                  <w:sz w:val="20"/>
                  <w:szCs w:val="20"/>
                  <w:u w:val="single"/>
                  <w:vertAlign w:val="superscript"/>
                  <w:lang w:eastAsia="en-AU"/>
                </w:rPr>
                <w:t>10</w:t>
              </w:r>
            </w:hyperlink>
            <w:r w:rsidRPr="00392A79">
              <w:rPr>
                <w:rFonts w:ascii="Arial" w:eastAsiaTheme="minorEastAsia" w:hAnsi="Arial" w:cs="Arial"/>
                <w:sz w:val="20"/>
                <w:szCs w:val="20"/>
                <w:vertAlign w:val="superscript"/>
                <w:lang w:eastAsia="en-AU"/>
              </w:rPr>
              <w:t>)</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140"/>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jc w:val="both"/>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PO60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With the exception of caretaker's accommodation</w:t>
            </w:r>
            <w:r w:rsidRPr="00392A79">
              <w:rPr>
                <w:rFonts w:ascii="Arial" w:eastAsiaTheme="minorEastAsia" w:hAnsi="Arial" w:cs="Arial"/>
                <w:sz w:val="20"/>
                <w:szCs w:val="20"/>
                <w:vertAlign w:val="superscript"/>
                <w:lang w:eastAsia="en-AU"/>
              </w:rPr>
              <w:t>(</w:t>
            </w:r>
            <w:hyperlink r:id="rId18" w:anchor="target-d768251e570643" w:tooltip="Caretaker’s accommodation - A dwelling provided for a caretaker of a non-residential use on the same premises." w:history="1">
              <w:r w:rsidRPr="00392A79">
                <w:rPr>
                  <w:rFonts w:ascii="Arial" w:eastAsiaTheme="minorEastAsia" w:hAnsi="Arial" w:cs="Arial"/>
                  <w:color w:val="0000FF"/>
                  <w:sz w:val="20"/>
                  <w:szCs w:val="20"/>
                  <w:u w:val="single"/>
                  <w:vertAlign w:val="superscript"/>
                  <w:lang w:eastAsia="en-AU"/>
                </w:rPr>
                <w:t>10</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residential and other sensitive land uses do not establish within the Specialised centre sub-precinct.</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of caretaker's accommodation</w:t>
            </w:r>
            <w:r w:rsidRPr="00392A79">
              <w:rPr>
                <w:rFonts w:ascii="Arial" w:eastAsiaTheme="minorEastAsia" w:hAnsi="Arial" w:cs="Arial"/>
                <w:sz w:val="20"/>
                <w:szCs w:val="20"/>
                <w:vertAlign w:val="superscript"/>
                <w:lang w:eastAsia="en-AU"/>
              </w:rPr>
              <w:t>(</w:t>
            </w:r>
            <w:hyperlink r:id="rId19" w:anchor="target-d768251e570643" w:tooltip="Caretaker’s accommodation - A dwelling provided for a caretaker of a non-residential use on the same premises." w:history="1">
              <w:r w:rsidRPr="00392A79">
                <w:rPr>
                  <w:rFonts w:ascii="Arial" w:eastAsiaTheme="minorEastAsia" w:hAnsi="Arial" w:cs="Arial"/>
                  <w:color w:val="0000FF"/>
                  <w:sz w:val="20"/>
                  <w:szCs w:val="20"/>
                  <w:u w:val="single"/>
                  <w:vertAlign w:val="superscript"/>
                  <w:lang w:eastAsia="en-AU"/>
                </w:rPr>
                <w:t>10</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w:t>
            </w:r>
          </w:p>
          <w:p w:rsidR="00392A79" w:rsidRPr="00392A79" w:rsidRDefault="00392A79" w:rsidP="00502327">
            <w:pPr>
              <w:numPr>
                <w:ilvl w:val="0"/>
                <w:numId w:val="4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does not compromise the productivity of the use occurring on-site and in the surrounding area;</w:t>
            </w:r>
          </w:p>
          <w:p w:rsidR="00392A79" w:rsidRPr="00392A79" w:rsidRDefault="00392A79" w:rsidP="00502327">
            <w:pPr>
              <w:numPr>
                <w:ilvl w:val="0"/>
                <w:numId w:val="4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domestic in scale;</w:t>
            </w:r>
          </w:p>
          <w:p w:rsidR="00392A79" w:rsidRPr="00392A79" w:rsidRDefault="00392A79" w:rsidP="00502327">
            <w:pPr>
              <w:numPr>
                <w:ilvl w:val="0"/>
                <w:numId w:val="4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provides adequate car parking provisions exclusive of the primary use of the site;</w:t>
            </w:r>
          </w:p>
          <w:p w:rsidR="00392A79" w:rsidRPr="00392A79" w:rsidRDefault="00392A79" w:rsidP="00502327">
            <w:pPr>
              <w:numPr>
                <w:ilvl w:val="0"/>
                <w:numId w:val="4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is safe for the residents;</w:t>
            </w:r>
          </w:p>
          <w:p w:rsidR="00392A79" w:rsidRPr="00392A79" w:rsidRDefault="00392A79" w:rsidP="00502327">
            <w:pPr>
              <w:numPr>
                <w:ilvl w:val="0"/>
                <w:numId w:val="45"/>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has regard to the open space and recreation needs of the residents.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Caretaker's accommodation</w:t>
            </w:r>
            <w:r w:rsidRPr="00392A79">
              <w:rPr>
                <w:rFonts w:ascii="Arial" w:eastAsiaTheme="minorEastAsia" w:hAnsi="Arial" w:cs="Arial"/>
                <w:sz w:val="20"/>
                <w:szCs w:val="20"/>
                <w:vertAlign w:val="superscript"/>
                <w:lang w:eastAsia="en-AU"/>
              </w:rPr>
              <w:t>(</w:t>
            </w:r>
            <w:hyperlink r:id="rId20" w:anchor="target-d768251e570643" w:tooltip="Caretaker’s accommodation - A dwelling provided for a caretaker of a non-residential use on the same premises." w:history="1">
              <w:r w:rsidRPr="00392A79">
                <w:rPr>
                  <w:rFonts w:ascii="Arial" w:eastAsiaTheme="minorEastAsia" w:hAnsi="Arial" w:cs="Arial"/>
                  <w:color w:val="0000FF"/>
                  <w:sz w:val="20"/>
                  <w:szCs w:val="20"/>
                  <w:u w:val="single"/>
                  <w:vertAlign w:val="superscript"/>
                  <w:lang w:eastAsia="en-AU"/>
                </w:rPr>
                <w:t>10</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w:t>
            </w:r>
          </w:p>
          <w:p w:rsidR="00392A79" w:rsidRPr="00392A79" w:rsidRDefault="00392A79" w:rsidP="00502327">
            <w:pPr>
              <w:numPr>
                <w:ilvl w:val="0"/>
                <w:numId w:val="4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has a maximum GFA of 80m</w:t>
            </w:r>
            <w:r w:rsidRPr="00392A79">
              <w:rPr>
                <w:rFonts w:ascii="Arial" w:eastAsiaTheme="minorEastAsia" w:hAnsi="Arial" w:cs="Arial"/>
                <w:sz w:val="20"/>
                <w:szCs w:val="20"/>
                <w:vertAlign w:val="superscript"/>
                <w:lang w:eastAsia="en-AU"/>
              </w:rPr>
              <w:t>2</w:t>
            </w:r>
            <w:r w:rsidRPr="00392A79">
              <w:rPr>
                <w:rFonts w:ascii="Arial" w:eastAsiaTheme="minorEastAsia" w:hAnsi="Arial" w:cs="Arial"/>
                <w:sz w:val="20"/>
                <w:szCs w:val="20"/>
                <w:lang w:eastAsia="en-AU"/>
              </w:rPr>
              <w:t>;</w:t>
            </w:r>
          </w:p>
          <w:p w:rsidR="00392A79" w:rsidRPr="00392A79" w:rsidRDefault="00392A79" w:rsidP="00502327">
            <w:pPr>
              <w:numPr>
                <w:ilvl w:val="0"/>
                <w:numId w:val="4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does not gain access from a separate driveway to that of the industrial use;</w:t>
            </w:r>
          </w:p>
          <w:p w:rsidR="00392A79" w:rsidRPr="00392A79" w:rsidRDefault="00392A79" w:rsidP="00502327">
            <w:pPr>
              <w:numPr>
                <w:ilvl w:val="0"/>
                <w:numId w:val="4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provides a minimum 16m</w:t>
            </w:r>
            <w:r w:rsidRPr="00392A79">
              <w:rPr>
                <w:rFonts w:ascii="Arial" w:eastAsiaTheme="minorEastAsia" w:hAnsi="Arial" w:cs="Arial"/>
                <w:sz w:val="20"/>
                <w:szCs w:val="20"/>
                <w:vertAlign w:val="superscript"/>
                <w:lang w:eastAsia="en-AU"/>
              </w:rPr>
              <w:t>2</w:t>
            </w:r>
            <w:r w:rsidRPr="00392A79">
              <w:rPr>
                <w:rFonts w:ascii="Arial" w:eastAsiaTheme="minorEastAsia" w:hAnsi="Arial" w:cs="Arial"/>
                <w:sz w:val="20"/>
                <w:szCs w:val="20"/>
                <w:lang w:eastAsia="en-AU"/>
              </w:rPr>
              <w:t xml:space="preserve"> of private open space directly accessible from a habitable room;</w:t>
            </w:r>
          </w:p>
          <w:p w:rsidR="00392A79" w:rsidRPr="00392A79" w:rsidRDefault="00392A79" w:rsidP="00502327">
            <w:pPr>
              <w:numPr>
                <w:ilvl w:val="0"/>
                <w:numId w:val="46"/>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provides car parking in accordance with the car parking rates table.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Major electricity infrastructure, Substation and Utility installation</w:t>
            </w:r>
          </w:p>
        </w:tc>
        <w:tc>
          <w:tcPr>
            <w:tcW w:w="738"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development does not have an adverse impact on the visual amenity of a locality and is:</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high quality design and construction;</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visually integrated with the surrounding area;</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not visually dominant or intrusive;</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located behind the main building line;</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below the level of the predominant tree canopy or the level of the surrounding buildings and structures;</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camouflaged </w:t>
            </w:r>
            <w:proofErr w:type="gramStart"/>
            <w:r w:rsidRPr="00392A79">
              <w:rPr>
                <w:rFonts w:ascii="Arial" w:eastAsia="Times New Roman" w:hAnsi="Arial" w:cs="Arial"/>
                <w:sz w:val="20"/>
                <w:szCs w:val="20"/>
                <w:lang w:eastAsia="en-AU"/>
              </w:rPr>
              <w:t>through the use of</w:t>
            </w:r>
            <w:proofErr w:type="gramEnd"/>
            <w:r w:rsidRPr="00392A79">
              <w:rPr>
                <w:rFonts w:ascii="Arial" w:eastAsia="Times New Roman" w:hAnsi="Arial" w:cs="Arial"/>
                <w:sz w:val="20"/>
                <w:szCs w:val="20"/>
                <w:lang w:eastAsia="en-AU"/>
              </w:rPr>
              <w:t xml:space="preserve"> colours and materials which blend into the landscape;</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treated to eliminate glare and reflectivity;</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landscaped;</w:t>
            </w:r>
          </w:p>
          <w:p w:rsidR="00392A79" w:rsidRPr="00392A79" w:rsidRDefault="00392A79" w:rsidP="00502327">
            <w:pPr>
              <w:numPr>
                <w:ilvl w:val="0"/>
                <w:numId w:val="4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otherwise consistent with the amenity and character of the zone and surrounding area.</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E62.1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is designed to minimise surrounding land use conflicts by ensuring infrastructure, buildings, structures and other equipment:</w:t>
            </w:r>
          </w:p>
          <w:p w:rsidR="00392A79" w:rsidRPr="00392A79" w:rsidRDefault="00392A79" w:rsidP="00502327">
            <w:pPr>
              <w:numPr>
                <w:ilvl w:val="0"/>
                <w:numId w:val="4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are enclosed within buildings or structures;</w:t>
            </w:r>
          </w:p>
          <w:p w:rsidR="00392A79" w:rsidRPr="00392A79" w:rsidRDefault="00392A79" w:rsidP="00502327">
            <w:pPr>
              <w:numPr>
                <w:ilvl w:val="0"/>
                <w:numId w:val="4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are located behind the main building line;</w:t>
            </w:r>
          </w:p>
          <w:p w:rsidR="00392A79" w:rsidRPr="00392A79" w:rsidRDefault="00392A79" w:rsidP="00502327">
            <w:pPr>
              <w:numPr>
                <w:ilvl w:val="0"/>
                <w:numId w:val="4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have a similar height, bulk and scale to the surrounding fabric;</w:t>
            </w:r>
          </w:p>
          <w:p w:rsidR="00392A79" w:rsidRPr="00392A79" w:rsidRDefault="00392A79" w:rsidP="00502327">
            <w:pPr>
              <w:numPr>
                <w:ilvl w:val="0"/>
                <w:numId w:val="4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have horizontal and vertical articulation applied to all exterior walls.</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E62.2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 minimum 3m wide strip of dense planting is provided around the outside of the fenced area, between the </w:t>
            </w:r>
            <w:r w:rsidRPr="00392A79">
              <w:rPr>
                <w:rFonts w:ascii="Arial" w:eastAsiaTheme="minorEastAsia" w:hAnsi="Arial" w:cs="Arial"/>
                <w:sz w:val="20"/>
                <w:szCs w:val="20"/>
                <w:lang w:eastAsia="en-AU"/>
              </w:rPr>
              <w:lastRenderedPageBreak/>
              <w:t>development and street frontage, side and rear boundaries.</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Infrastructure does not have an impact on pedestrian health and safety.</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Access control arrangements:</w:t>
            </w:r>
          </w:p>
          <w:p w:rsidR="00392A79" w:rsidRPr="00392A79" w:rsidRDefault="00392A79" w:rsidP="00502327">
            <w:pPr>
              <w:numPr>
                <w:ilvl w:val="0"/>
                <w:numId w:val="49"/>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 not create dead-ends or dark alleyways adjacent to the infrastructure;</w:t>
            </w:r>
          </w:p>
          <w:p w:rsidR="00392A79" w:rsidRPr="00392A79" w:rsidRDefault="00392A79" w:rsidP="00502327">
            <w:pPr>
              <w:numPr>
                <w:ilvl w:val="0"/>
                <w:numId w:val="49"/>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minimise the number and width of crossovers and entry points;</w:t>
            </w:r>
          </w:p>
          <w:p w:rsidR="00392A79" w:rsidRPr="00392A79" w:rsidRDefault="00392A79" w:rsidP="00502327">
            <w:pPr>
              <w:numPr>
                <w:ilvl w:val="0"/>
                <w:numId w:val="49"/>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provide safe vehicular access to the site;</w:t>
            </w:r>
          </w:p>
          <w:p w:rsidR="00392A79" w:rsidRPr="00392A79" w:rsidRDefault="00392A79" w:rsidP="00502327">
            <w:pPr>
              <w:numPr>
                <w:ilvl w:val="0"/>
                <w:numId w:val="49"/>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 not utilise barbed wire or razor wire.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605"/>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All activities associated with the development occur within an environment incorporating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controls to ensure the facility:</w:t>
            </w:r>
          </w:p>
          <w:p w:rsidR="00392A79" w:rsidRPr="00392A79" w:rsidRDefault="00392A79" w:rsidP="00502327">
            <w:pPr>
              <w:numPr>
                <w:ilvl w:val="0"/>
                <w:numId w:val="5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generates no audible sound at the site boundaries where in a residential setting; or</w:t>
            </w:r>
          </w:p>
          <w:p w:rsidR="00392A79" w:rsidRPr="00392A79" w:rsidRDefault="00392A79" w:rsidP="00502327">
            <w:pPr>
              <w:numPr>
                <w:ilvl w:val="0"/>
                <w:numId w:val="50"/>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meet the objectives as set out in the Environmental Protection (Noise) Policy 2008.</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All equipment which produces audible or non-audible sound is housed within a fully enclosed building incorporating sound control measures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to ensure noise emissions meet the objectives as set out in the Environmental Protection (Noise) Policy 2008.</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5D01EC" w:rsidRPr="00392A79" w:rsidTr="005D01E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D01EC" w:rsidRPr="00392A79" w:rsidRDefault="005D01EC" w:rsidP="00392A79">
            <w:pPr>
              <w:spacing w:before="100" w:beforeAutospacing="1" w:after="100" w:afterAutospacing="1" w:line="240" w:lineRule="auto"/>
              <w:rPr>
                <w:rFonts w:ascii="Arial" w:eastAsiaTheme="minorEastAsia" w:hAnsi="Arial" w:cs="Arial"/>
                <w:color w:val="000000"/>
                <w:sz w:val="20"/>
                <w:szCs w:val="20"/>
                <w:lang w:eastAsia="en-AU"/>
              </w:rPr>
            </w:pPr>
            <w:r w:rsidRPr="00392A79">
              <w:rPr>
                <w:rFonts w:ascii="Arial" w:eastAsiaTheme="minorEastAsia" w:hAnsi="Arial" w:cs="Arial"/>
                <w:b/>
                <w:bCs/>
                <w:color w:val="000000"/>
                <w:sz w:val="20"/>
                <w:szCs w:val="20"/>
                <w:lang w:eastAsia="en-AU"/>
              </w:rPr>
              <w:t>Telecommunications facility</w:t>
            </w:r>
            <w:r w:rsidRPr="00392A79">
              <w:rPr>
                <w:rFonts w:ascii="Arial" w:eastAsiaTheme="minorEastAsia" w:hAnsi="Arial" w:cs="Arial"/>
                <w:color w:val="000000"/>
                <w:sz w:val="20"/>
                <w:szCs w:val="20"/>
                <w:vertAlign w:val="superscript"/>
                <w:lang w:eastAsia="en-AU"/>
              </w:rPr>
              <w:t>(</w:t>
            </w:r>
            <w:hyperlink r:id="rId21"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5D01EC" w:rsidRPr="00392A79" w:rsidTr="00392A79">
              <w:trPr>
                <w:tblCellSpacing w:w="15" w:type="dxa"/>
              </w:trPr>
              <w:tc>
                <w:tcPr>
                  <w:tcW w:w="14944" w:type="dxa"/>
                  <w:shd w:val="clear" w:color="auto" w:fill="CCCCCC"/>
                  <w:vAlign w:val="center"/>
                  <w:hideMark/>
                </w:tcPr>
                <w:p w:rsidR="005D01EC" w:rsidRPr="00392A79" w:rsidRDefault="005D01EC" w:rsidP="00392A79">
                  <w:pPr>
                    <w:spacing w:before="100" w:beforeAutospacing="1" w:after="100" w:afterAutospacing="1" w:line="240" w:lineRule="auto"/>
                    <w:rPr>
                      <w:rFonts w:ascii="Arial" w:eastAsiaTheme="minorEastAsia" w:hAnsi="Arial" w:cs="Arial"/>
                      <w:sz w:val="20"/>
                      <w:szCs w:val="20"/>
                      <w:lang w:eastAsia="en-AU"/>
                    </w:rPr>
                  </w:pPr>
                  <w:r w:rsidRPr="001C4FD9">
                    <w:rPr>
                      <w:rFonts w:ascii="Arial" w:eastAsiaTheme="minorEastAsia" w:hAnsi="Arial" w:cs="Arial"/>
                      <w:sz w:val="18"/>
                      <w:szCs w:val="18"/>
                      <w:lang w:eastAsia="en-AU"/>
                    </w:rPr>
                    <w:t xml:space="preserve">Editor's note - In accordance with the Federal legislation Telecommunications facilities </w:t>
                  </w:r>
                  <w:r w:rsidRPr="001C4FD9">
                    <w:rPr>
                      <w:rFonts w:ascii="Arial" w:eastAsiaTheme="minorEastAsia" w:hAnsi="Arial" w:cs="Arial"/>
                      <w:sz w:val="18"/>
                      <w:szCs w:val="18"/>
                      <w:vertAlign w:val="superscript"/>
                      <w:lang w:eastAsia="en-AU"/>
                    </w:rPr>
                    <w:t>(</w:t>
                  </w:r>
                  <w:hyperlink r:id="rId22" w:anchor="target-d768251e572444" w:tooltip="Telecommunications facility - Premises used for systems that carry communications and signals by means of radio, including guided or unguided electromagnetic energy, whether such facility is manned or remotely controlled." w:history="1">
                    <w:r w:rsidRPr="001C4FD9">
                      <w:rPr>
                        <w:rFonts w:ascii="Arial" w:eastAsiaTheme="minorEastAsia" w:hAnsi="Arial" w:cs="Arial"/>
                        <w:color w:val="0000FF"/>
                        <w:sz w:val="18"/>
                        <w:szCs w:val="18"/>
                        <w:u w:val="single"/>
                        <w:vertAlign w:val="superscript"/>
                        <w:lang w:eastAsia="en-AU"/>
                      </w:rPr>
                      <w:t>81</w:t>
                    </w:r>
                  </w:hyperlink>
                  <w:r w:rsidRPr="001C4FD9">
                    <w:rPr>
                      <w:rFonts w:ascii="Arial" w:eastAsiaTheme="minorEastAsia" w:hAnsi="Arial" w:cs="Arial"/>
                      <w:sz w:val="18"/>
                      <w:szCs w:val="18"/>
                      <w:vertAlign w:val="superscript"/>
                      <w:lang w:eastAsia="en-AU"/>
                    </w:rPr>
                    <w:t>)</w:t>
                  </w:r>
                  <w:r w:rsidRPr="001C4FD9">
                    <w:rPr>
                      <w:rFonts w:ascii="Arial" w:eastAsiaTheme="minorEastAsia" w:hAnsi="Arial" w:cs="Arial"/>
                      <w:sz w:val="18"/>
                      <w:szCs w:val="18"/>
                      <w:lang w:eastAsia="en-AU"/>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5D01EC" w:rsidRPr="00392A79" w:rsidRDefault="005D01EC" w:rsidP="00392A79">
            <w:pPr>
              <w:spacing w:before="100" w:beforeAutospacing="1" w:after="100" w:afterAutospacing="1" w:line="240" w:lineRule="auto"/>
              <w:rPr>
                <w:rFonts w:ascii="Arial" w:eastAsiaTheme="minorEastAsia" w:hAnsi="Arial" w:cs="Arial"/>
                <w:b/>
                <w:bCs/>
                <w:color w:val="000000"/>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Telecommunications facilities</w:t>
            </w:r>
            <w:r w:rsidRPr="00392A79">
              <w:rPr>
                <w:rFonts w:ascii="Arial" w:eastAsiaTheme="minorEastAsia" w:hAnsi="Arial" w:cs="Arial"/>
                <w:sz w:val="20"/>
                <w:szCs w:val="20"/>
                <w:vertAlign w:val="superscript"/>
                <w:lang w:eastAsia="en-AU"/>
              </w:rPr>
              <w:t>(</w:t>
            </w:r>
            <w:hyperlink r:id="rId23"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are co-located with existing telecommunications facilities</w:t>
            </w:r>
            <w:r w:rsidRPr="00392A79">
              <w:rPr>
                <w:rFonts w:ascii="Arial" w:eastAsiaTheme="minorEastAsia" w:hAnsi="Arial" w:cs="Arial"/>
                <w:sz w:val="20"/>
                <w:szCs w:val="20"/>
                <w:vertAlign w:val="superscript"/>
                <w:lang w:eastAsia="en-AU"/>
              </w:rPr>
              <w:t>(</w:t>
            </w:r>
            <w:hyperlink r:id="rId24"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Utility installation</w:t>
            </w:r>
            <w:r w:rsidRPr="00392A79">
              <w:rPr>
                <w:rFonts w:ascii="Arial" w:eastAsiaTheme="minorEastAsia" w:hAnsi="Arial" w:cs="Arial"/>
                <w:sz w:val="20"/>
                <w:szCs w:val="20"/>
                <w:vertAlign w:val="superscript"/>
                <w:lang w:eastAsia="en-AU"/>
              </w:rPr>
              <w:t>(</w:t>
            </w:r>
            <w:hyperlink r:id="rId25" w:anchor="target-d768251e572573" w:tooltip="Utility installation - Premises used to provide the public with the following services:" w:history="1">
              <w:r w:rsidRPr="00392A79">
                <w:rPr>
                  <w:rFonts w:ascii="Arial" w:eastAsiaTheme="minorEastAsia" w:hAnsi="Arial" w:cs="Arial"/>
                  <w:color w:val="0000FF"/>
                  <w:sz w:val="20"/>
                  <w:szCs w:val="20"/>
                  <w:u w:val="single"/>
                  <w:vertAlign w:val="superscript"/>
                  <w:lang w:eastAsia="en-AU"/>
                </w:rPr>
                <w:t>86</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Major electricity infrastructure</w:t>
            </w:r>
            <w:r w:rsidRPr="00392A79">
              <w:rPr>
                <w:rFonts w:ascii="Arial" w:eastAsiaTheme="minorEastAsia" w:hAnsi="Arial" w:cs="Arial"/>
                <w:sz w:val="20"/>
                <w:szCs w:val="20"/>
                <w:vertAlign w:val="superscript"/>
                <w:lang w:eastAsia="en-AU"/>
              </w:rPr>
              <w:t>(</w:t>
            </w:r>
            <w:hyperlink r:id="rId26"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392A79">
                <w:rPr>
                  <w:rFonts w:ascii="Arial" w:eastAsiaTheme="minorEastAsia" w:hAnsi="Arial" w:cs="Arial"/>
                  <w:color w:val="0000FF"/>
                  <w:sz w:val="20"/>
                  <w:szCs w:val="20"/>
                  <w:u w:val="single"/>
                  <w:vertAlign w:val="superscript"/>
                  <w:lang w:eastAsia="en-AU"/>
                </w:rPr>
                <w:t>43</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or </w:t>
            </w:r>
            <w:r w:rsidRPr="00392A79">
              <w:rPr>
                <w:rFonts w:ascii="Arial" w:eastAsiaTheme="minorEastAsia" w:hAnsi="Arial" w:cs="Arial"/>
                <w:sz w:val="20"/>
                <w:szCs w:val="20"/>
                <w:lang w:eastAsia="en-AU"/>
              </w:rPr>
              <w:lastRenderedPageBreak/>
              <w:t>Substation</w:t>
            </w:r>
            <w:r w:rsidRPr="00392A79">
              <w:rPr>
                <w:rFonts w:ascii="Arial" w:eastAsiaTheme="minorEastAsia" w:hAnsi="Arial" w:cs="Arial"/>
                <w:sz w:val="20"/>
                <w:szCs w:val="20"/>
                <w:vertAlign w:val="superscript"/>
                <w:lang w:eastAsia="en-AU"/>
              </w:rPr>
              <w:t>(</w:t>
            </w:r>
            <w:hyperlink r:id="rId27" w:anchor="target-d768251e572400" w:tooltip="Substation - Premises forming part of a transmission grid or supply network under the Electricity Act 1994, and used for:" w:history="1">
              <w:r w:rsidRPr="00392A79">
                <w:rPr>
                  <w:rFonts w:ascii="Arial" w:eastAsiaTheme="minorEastAsia" w:hAnsi="Arial" w:cs="Arial"/>
                  <w:color w:val="0000FF"/>
                  <w:sz w:val="20"/>
                  <w:szCs w:val="20"/>
                  <w:u w:val="single"/>
                  <w:vertAlign w:val="superscript"/>
                  <w:lang w:eastAsia="en-AU"/>
                </w:rPr>
                <w:t>80</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if there is already a facility in the same coverage area.</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E65.1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New telecommunication facilities</w:t>
            </w:r>
            <w:r w:rsidRPr="00392A79">
              <w:rPr>
                <w:rFonts w:ascii="Arial" w:eastAsiaTheme="minorEastAsia" w:hAnsi="Arial" w:cs="Arial"/>
                <w:sz w:val="20"/>
                <w:szCs w:val="20"/>
                <w:vertAlign w:val="superscript"/>
                <w:lang w:eastAsia="en-AU"/>
              </w:rPr>
              <w:t>(</w:t>
            </w:r>
            <w:hyperlink r:id="rId28"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are co-located on existing towers with new equipment shelter and associated structures positioned adjacent to the existing shelters and structures.</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heme="minorEastAsia"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E65.2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If not co-located with an existing facility, all co-location opportunities have been investigated and fully exhausted within a 2km radius of the site.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new Telecommunications facility</w:t>
            </w:r>
            <w:r w:rsidRPr="00392A79">
              <w:rPr>
                <w:rFonts w:ascii="Arial" w:eastAsiaTheme="minorEastAsia" w:hAnsi="Arial" w:cs="Arial"/>
                <w:sz w:val="20"/>
                <w:szCs w:val="20"/>
                <w:vertAlign w:val="superscript"/>
                <w:lang w:eastAsia="en-AU"/>
              </w:rPr>
              <w:t>(</w:t>
            </w:r>
            <w:hyperlink r:id="rId29"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is designed and constructed to ensure co-masting or co-siting with other carriers both on the tower or pole and at ground level is possible in the future.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minimum area of 45m</w:t>
            </w:r>
            <w:r w:rsidRPr="00392A79">
              <w:rPr>
                <w:rFonts w:ascii="Arial" w:eastAsiaTheme="minorEastAsia" w:hAnsi="Arial" w:cs="Arial"/>
                <w:sz w:val="20"/>
                <w:szCs w:val="20"/>
                <w:vertAlign w:val="superscript"/>
                <w:lang w:eastAsia="en-AU"/>
              </w:rPr>
              <w:t>2</w:t>
            </w:r>
            <w:r w:rsidRPr="00392A79">
              <w:rPr>
                <w:rFonts w:ascii="Arial" w:eastAsiaTheme="minorEastAsia" w:hAnsi="Arial" w:cs="Arial"/>
                <w:sz w:val="20"/>
                <w:szCs w:val="20"/>
                <w:lang w:eastAsia="en-AU"/>
              </w:rPr>
              <w:t xml:space="preserve"> is available to allow for additional equipment shelters and associated structures for the purpose of co-locating on the proposed facility.</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Telecommunications facilities</w:t>
            </w:r>
            <w:r w:rsidRPr="00392A79">
              <w:rPr>
                <w:rFonts w:ascii="Arial" w:eastAsiaTheme="minorEastAsia" w:hAnsi="Arial" w:cs="Arial"/>
                <w:sz w:val="20"/>
                <w:szCs w:val="20"/>
                <w:vertAlign w:val="superscript"/>
                <w:lang w:eastAsia="en-AU"/>
              </w:rPr>
              <w:t>(</w:t>
            </w:r>
            <w:hyperlink r:id="rId30"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do not conflict with lawful existing land uses both on and adjoining the site.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development results in no net reduction in the minimum quantity and standard of landscaping, private or communal open space or car parking spaces required under the planning scheme or under an existing development approval.</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528"/>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Telecommunications facility</w:t>
            </w:r>
            <w:r w:rsidRPr="00392A79">
              <w:rPr>
                <w:rFonts w:ascii="Arial" w:eastAsiaTheme="minorEastAsia" w:hAnsi="Arial" w:cs="Arial"/>
                <w:sz w:val="20"/>
                <w:szCs w:val="20"/>
                <w:vertAlign w:val="superscript"/>
                <w:lang w:eastAsia="en-AU"/>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does not have an adverse impact on the visual amenity of a locality and is:</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high quality design and construction;</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visually integrated with the surrounding area;</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not visually dominant or intrusive;</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located behind the main building line;</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below the level of the predominant tree canopy or the level of the surrounding buildings and structures;</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camouflaged </w:t>
            </w:r>
            <w:proofErr w:type="gramStart"/>
            <w:r w:rsidRPr="00392A79">
              <w:rPr>
                <w:rFonts w:ascii="Arial" w:eastAsia="Times New Roman" w:hAnsi="Arial" w:cs="Arial"/>
                <w:sz w:val="20"/>
                <w:szCs w:val="20"/>
                <w:lang w:eastAsia="en-AU"/>
              </w:rPr>
              <w:t>through the use of</w:t>
            </w:r>
            <w:proofErr w:type="gramEnd"/>
            <w:r w:rsidRPr="00392A79">
              <w:rPr>
                <w:rFonts w:ascii="Arial" w:eastAsia="Times New Roman" w:hAnsi="Arial" w:cs="Arial"/>
                <w:sz w:val="20"/>
                <w:szCs w:val="20"/>
                <w:lang w:eastAsia="en-AU"/>
              </w:rPr>
              <w:t xml:space="preserve"> colours and materials which blend into the landscape;</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treated to eliminate glare and reflectivity;</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landscaped;</w:t>
            </w:r>
          </w:p>
          <w:p w:rsidR="00392A79" w:rsidRPr="00392A79" w:rsidRDefault="00392A79" w:rsidP="00502327">
            <w:pPr>
              <w:numPr>
                <w:ilvl w:val="0"/>
                <w:numId w:val="5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otherwise consistent with the amenity and character of the zone and surrounding area.</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E68.1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Where in an urban area, the development does not protrude more than 5m above the level of the existing </w:t>
            </w:r>
            <w:proofErr w:type="spellStart"/>
            <w:r w:rsidRPr="00392A79">
              <w:rPr>
                <w:rFonts w:ascii="Arial" w:eastAsiaTheme="minorEastAsia" w:hAnsi="Arial" w:cs="Arial"/>
                <w:sz w:val="20"/>
                <w:szCs w:val="20"/>
                <w:lang w:eastAsia="en-AU"/>
              </w:rPr>
              <w:t>treeline</w:t>
            </w:r>
            <w:proofErr w:type="spellEnd"/>
            <w:r w:rsidRPr="00392A79">
              <w:rPr>
                <w:rFonts w:ascii="Arial" w:eastAsiaTheme="minorEastAsia" w:hAnsi="Arial" w:cs="Arial"/>
                <w:sz w:val="20"/>
                <w:szCs w:val="20"/>
                <w:lang w:eastAsia="en-AU"/>
              </w:rPr>
              <w:t>, prominent ridgeline or building rooftops in the surrounding townscape.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969"/>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In all other </w:t>
            </w:r>
            <w:proofErr w:type="gramStart"/>
            <w:r w:rsidRPr="00392A79">
              <w:rPr>
                <w:rFonts w:ascii="Arial" w:eastAsiaTheme="minorEastAsia" w:hAnsi="Arial" w:cs="Arial"/>
                <w:sz w:val="20"/>
                <w:szCs w:val="20"/>
                <w:lang w:eastAsia="en-AU"/>
              </w:rPr>
              <w:t>areas</w:t>
            </w:r>
            <w:proofErr w:type="gramEnd"/>
            <w:r w:rsidRPr="00392A79">
              <w:rPr>
                <w:rFonts w:ascii="Arial" w:eastAsiaTheme="minorEastAsia" w:hAnsi="Arial" w:cs="Arial"/>
                <w:sz w:val="20"/>
                <w:szCs w:val="20"/>
                <w:lang w:eastAsia="en-AU"/>
              </w:rPr>
              <w:t xml:space="preserve"> towers do not exceed 35m in height.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Towers, equipment </w:t>
            </w:r>
            <w:proofErr w:type="gramStart"/>
            <w:r w:rsidRPr="00392A79">
              <w:rPr>
                <w:rFonts w:ascii="Arial" w:eastAsiaTheme="minorEastAsia" w:hAnsi="Arial" w:cs="Arial"/>
                <w:sz w:val="20"/>
                <w:szCs w:val="20"/>
                <w:lang w:eastAsia="en-AU"/>
              </w:rPr>
              <w:t>shelters</w:t>
            </w:r>
            <w:proofErr w:type="gramEnd"/>
            <w:r w:rsidRPr="00392A79">
              <w:rPr>
                <w:rFonts w:ascii="Arial" w:eastAsiaTheme="minorEastAsia" w:hAnsi="Arial" w:cs="Arial"/>
                <w:sz w:val="20"/>
                <w:szCs w:val="20"/>
                <w:lang w:eastAsia="en-AU"/>
              </w:rPr>
              <w:t xml:space="preserve"> and associated structures are of a design, colour and material to:</w:t>
            </w:r>
          </w:p>
          <w:p w:rsidR="00392A79" w:rsidRPr="00392A79" w:rsidRDefault="00392A79" w:rsidP="00502327">
            <w:pPr>
              <w:numPr>
                <w:ilvl w:val="0"/>
                <w:numId w:val="5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reduce recognition in the landscape;</w:t>
            </w:r>
          </w:p>
          <w:p w:rsidR="00392A79" w:rsidRPr="00392A79" w:rsidRDefault="00392A79" w:rsidP="00502327">
            <w:pPr>
              <w:numPr>
                <w:ilvl w:val="0"/>
                <w:numId w:val="52"/>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reduce glare and reflectivity.</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structures and buildings are setback behind the main building line and a minimum of 10m from side and rear boundaries, except where in the Industry and Extractive industry zones, the minimum side and rear setback is 3m.</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there is no established building line the facility is located at the rear of the site.</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The facility is enclosed by security fencing or by other means to ensure public access is prohibited.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E68.6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Landscaping is provided in accordance with Planning scheme policy - Integrated design.</w:t>
                  </w:r>
                </w:p>
              </w:tc>
            </w:tr>
            <w:tr w:rsidR="00392A79" w:rsidRPr="00392A79" w:rsidTr="00392A79">
              <w:trPr>
                <w:tblCellSpacing w:w="15" w:type="dxa"/>
              </w:trPr>
              <w:tc>
                <w:tcPr>
                  <w:tcW w:w="4949"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Council may require a detailed landscaping plan, prepared by a suitably qualified person, to ensure compliance with Planning scheme policy - Integrated design.</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PO69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Lawful access </w:t>
            </w:r>
            <w:proofErr w:type="gramStart"/>
            <w:r w:rsidRPr="00392A79">
              <w:rPr>
                <w:rFonts w:ascii="Arial" w:eastAsiaTheme="minorEastAsia" w:hAnsi="Arial" w:cs="Arial"/>
                <w:sz w:val="20"/>
                <w:szCs w:val="20"/>
                <w:lang w:eastAsia="en-AU"/>
              </w:rPr>
              <w:t>is maintained to the site at all times</w:t>
            </w:r>
            <w:proofErr w:type="gramEnd"/>
            <w:r w:rsidRPr="00392A79">
              <w:rPr>
                <w:rFonts w:ascii="Arial" w:eastAsiaTheme="minorEastAsia" w:hAnsi="Arial" w:cs="Arial"/>
                <w:sz w:val="20"/>
                <w:szCs w:val="20"/>
                <w:lang w:eastAsia="en-AU"/>
              </w:rPr>
              <w:t xml:space="preserve"> that does not alter the amenity of the landscape or surrounding uses.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E69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An Access and Landscape Plan demonstrates how </w:t>
            </w:r>
            <w:proofErr w:type="gramStart"/>
            <w:r w:rsidRPr="00392A79">
              <w:rPr>
                <w:rFonts w:ascii="Arial" w:eastAsiaTheme="minorEastAsia" w:hAnsi="Arial" w:cs="Arial"/>
                <w:sz w:val="20"/>
                <w:szCs w:val="20"/>
                <w:lang w:eastAsia="en-AU"/>
              </w:rPr>
              <w:t>24 hour</w:t>
            </w:r>
            <w:proofErr w:type="gramEnd"/>
            <w:r w:rsidRPr="00392A79">
              <w:rPr>
                <w:rFonts w:ascii="Arial" w:eastAsiaTheme="minorEastAsia" w:hAnsi="Arial" w:cs="Arial"/>
                <w:sz w:val="20"/>
                <w:szCs w:val="20"/>
                <w:lang w:eastAsia="en-AU"/>
              </w:rPr>
              <w:t xml:space="preserve"> vehicular access will be obtained and maintained to the facility in a manner that is appropriate to the site’s context.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530"/>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PO70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All activities associated with the development occur within an environment incorporating </w:t>
            </w:r>
            <w:proofErr w:type="gramStart"/>
            <w:r w:rsidRPr="00392A79">
              <w:rPr>
                <w:rFonts w:ascii="Arial" w:eastAsiaTheme="minorEastAsia" w:hAnsi="Arial" w:cs="Arial"/>
                <w:sz w:val="20"/>
                <w:szCs w:val="20"/>
                <w:lang w:eastAsia="en-AU"/>
              </w:rPr>
              <w:t>sufficient</w:t>
            </w:r>
            <w:proofErr w:type="gramEnd"/>
            <w:r w:rsidRPr="00392A79">
              <w:rPr>
                <w:rFonts w:ascii="Arial" w:eastAsiaTheme="minorEastAsia" w:hAnsi="Arial" w:cs="Arial"/>
                <w:sz w:val="20"/>
                <w:szCs w:val="20"/>
                <w:lang w:eastAsia="en-AU"/>
              </w:rPr>
              <w:t xml:space="preserve"> controls to ensure the facility generates no audible sound at the site boundaries where in a residential setting.</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E70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All equipment comprising the Telecommunications facility</w:t>
            </w:r>
            <w:r w:rsidRPr="00392A79">
              <w:rPr>
                <w:rFonts w:ascii="Arial" w:eastAsiaTheme="minorEastAsia" w:hAnsi="Arial" w:cs="Arial"/>
                <w:sz w:val="20"/>
                <w:szCs w:val="20"/>
                <w:vertAlign w:val="superscript"/>
                <w:lang w:eastAsia="en-AU"/>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392A79">
                <w:rPr>
                  <w:rFonts w:ascii="Arial" w:eastAsiaTheme="minorEastAsia" w:hAnsi="Arial" w:cs="Arial"/>
                  <w:color w:val="0000FF"/>
                  <w:sz w:val="20"/>
                  <w:szCs w:val="20"/>
                  <w:u w:val="single"/>
                  <w:vertAlign w:val="superscript"/>
                  <w:lang w:eastAsia="en-AU"/>
                </w:rPr>
                <w:t>81</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09358B" w:rsidRPr="00392A79" w:rsidTr="0009358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9358B" w:rsidRPr="00392A79" w:rsidRDefault="0009358B" w:rsidP="00392A79">
            <w:pPr>
              <w:spacing w:before="100" w:beforeAutospacing="1" w:after="100" w:afterAutospacing="1" w:line="240" w:lineRule="auto"/>
              <w:jc w:val="center"/>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09358B" w:rsidRPr="00392A79" w:rsidTr="00392A79">
              <w:trPr>
                <w:tblCellSpacing w:w="15" w:type="dxa"/>
              </w:trPr>
              <w:tc>
                <w:tcPr>
                  <w:tcW w:w="14944" w:type="dxa"/>
                  <w:shd w:val="clear" w:color="auto" w:fill="CCCCCC"/>
                  <w:vAlign w:val="center"/>
                  <w:hideMark/>
                </w:tcPr>
                <w:p w:rsidR="0009358B" w:rsidRPr="00392A79" w:rsidRDefault="0009358B" w:rsidP="00392A79">
                  <w:pPr>
                    <w:spacing w:before="100" w:beforeAutospacing="1" w:after="100" w:afterAutospacing="1" w:line="240" w:lineRule="auto"/>
                    <w:rPr>
                      <w:rFonts w:ascii="Arial" w:eastAsiaTheme="minorEastAsia" w:hAnsi="Arial" w:cs="Arial"/>
                      <w:sz w:val="20"/>
                      <w:szCs w:val="20"/>
                      <w:lang w:eastAsia="en-AU"/>
                    </w:rPr>
                  </w:pPr>
                  <w:r w:rsidRPr="005D01EC">
                    <w:rPr>
                      <w:rFonts w:ascii="Arial" w:eastAsiaTheme="minorEastAsia" w:hAnsi="Arial" w:cs="Arial"/>
                      <w:sz w:val="18"/>
                      <w:szCs w:val="18"/>
                      <w:lang w:eastAsia="en-AU"/>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09358B" w:rsidRPr="00392A79" w:rsidRDefault="0009358B" w:rsidP="00392A79">
            <w:pPr>
              <w:spacing w:before="100" w:beforeAutospacing="1" w:after="100" w:afterAutospacing="1" w:line="240" w:lineRule="auto"/>
              <w:jc w:val="center"/>
              <w:rPr>
                <w:rFonts w:ascii="Arial" w:eastAsiaTheme="minorEastAsia" w:hAnsi="Arial" w:cs="Arial"/>
                <w:b/>
                <w:bCs/>
                <w:sz w:val="20"/>
                <w:szCs w:val="20"/>
                <w:lang w:eastAsia="en-AU"/>
              </w:rPr>
            </w:pPr>
          </w:p>
        </w:tc>
      </w:tr>
      <w:tr w:rsidR="0009358B" w:rsidRPr="00392A79" w:rsidTr="0009358B">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9358B" w:rsidRPr="00392A79" w:rsidRDefault="0009358B"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09358B" w:rsidRPr="00392A79" w:rsidTr="00392A79">
              <w:trPr>
                <w:tblCellSpacing w:w="15" w:type="dxa"/>
              </w:trPr>
              <w:tc>
                <w:tcPr>
                  <w:tcW w:w="14944" w:type="dxa"/>
                  <w:shd w:val="clear" w:color="auto" w:fill="CCCCCC"/>
                  <w:vAlign w:val="center"/>
                  <w:hideMark/>
                </w:tcPr>
                <w:p w:rsidR="0009358B" w:rsidRPr="005D01EC" w:rsidRDefault="0009358B" w:rsidP="00392A79">
                  <w:pPr>
                    <w:spacing w:before="100" w:beforeAutospacing="1" w:after="100" w:afterAutospacing="1" w:line="240" w:lineRule="auto"/>
                    <w:rPr>
                      <w:rFonts w:ascii="Arial" w:eastAsiaTheme="minorEastAsia" w:hAnsi="Arial" w:cs="Arial"/>
                      <w:sz w:val="18"/>
                      <w:szCs w:val="18"/>
                      <w:lang w:eastAsia="en-AU"/>
                    </w:rPr>
                  </w:pPr>
                  <w:r w:rsidRPr="005D01EC">
                    <w:rPr>
                      <w:rFonts w:ascii="Arial" w:eastAsiaTheme="minorEastAsia" w:hAnsi="Arial" w:cs="Arial"/>
                      <w:sz w:val="18"/>
                      <w:szCs w:val="18"/>
                      <w:lang w:eastAsia="en-AU"/>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09358B" w:rsidRPr="005D01EC" w:rsidRDefault="0009358B" w:rsidP="0009358B">
                  <w:pPr>
                    <w:spacing w:after="0" w:line="240" w:lineRule="auto"/>
                    <w:rPr>
                      <w:rFonts w:ascii="Arial" w:eastAsiaTheme="minorEastAsia" w:hAnsi="Arial" w:cs="Arial"/>
                      <w:sz w:val="18"/>
                      <w:szCs w:val="18"/>
                      <w:lang w:eastAsia="en-AU"/>
                    </w:rPr>
                  </w:pPr>
                  <w:r w:rsidRPr="005D01EC">
                    <w:rPr>
                      <w:rFonts w:ascii="Arial" w:eastAsiaTheme="minorEastAsia" w:hAnsi="Arial" w:cs="Arial"/>
                      <w:sz w:val="18"/>
                      <w:szCs w:val="18"/>
                      <w:lang w:eastAsia="en-AU"/>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09358B" w:rsidRPr="00392A79" w:rsidRDefault="0009358B" w:rsidP="0009358B">
                  <w:pPr>
                    <w:spacing w:after="0" w:line="240" w:lineRule="auto"/>
                    <w:rPr>
                      <w:rFonts w:ascii="Arial" w:eastAsiaTheme="minorEastAsia" w:hAnsi="Arial" w:cs="Arial"/>
                      <w:sz w:val="20"/>
                      <w:szCs w:val="20"/>
                      <w:lang w:eastAsia="en-AU"/>
                    </w:rPr>
                  </w:pPr>
                  <w:r w:rsidRPr="005D01EC">
                    <w:rPr>
                      <w:rFonts w:ascii="Arial" w:eastAsia="Times New Roman" w:hAnsi="Arial" w:cs="Arial"/>
                      <w:sz w:val="18"/>
                      <w:szCs w:val="18"/>
                      <w:lang w:eastAsia="en-AU"/>
                    </w:rPr>
                    <w:br/>
                  </w:r>
                  <w:r w:rsidRPr="005D01EC">
                    <w:rPr>
                      <w:rFonts w:ascii="Arial" w:eastAsiaTheme="minorEastAsia" w:hAnsi="Arial" w:cs="Arial"/>
                      <w:sz w:val="18"/>
                      <w:szCs w:val="18"/>
                      <w:lang w:eastAsia="en-AU"/>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09358B" w:rsidRPr="00392A79" w:rsidRDefault="0009358B"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will:</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not diminish or cause irreversible damage to the cultural heritage values present on the site, and associated with a heritage site, object or building;</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protect the fabric and setting of the heritage site, object or building;</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be consistent with the form, scale and style of the heritage site, object or building;</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utilise similar materials to those existing, or where this is not reasonable or practicable, neutral materials and finishes;</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incorporate complementary elements, detailing and ornamentation to those present on the heritage site, object or building;</w:t>
            </w:r>
          </w:p>
          <w:p w:rsidR="00392A79" w:rsidRPr="00392A79" w:rsidRDefault="00392A79" w:rsidP="00502327">
            <w:pPr>
              <w:numPr>
                <w:ilvl w:val="0"/>
                <w:numId w:val="53"/>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retain public access where this is currently provided.</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E71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09358B">
                    <w:rPr>
                      <w:rFonts w:ascii="Arial" w:eastAsia="Times New Roman" w:hAnsi="Arial" w:cs="Arial"/>
                      <w:sz w:val="18"/>
                      <w:szCs w:val="20"/>
                      <w:lang w:eastAsia="en-AU"/>
                    </w:rPr>
                    <w:t>to, and</w:t>
                  </w:r>
                  <w:proofErr w:type="gramEnd"/>
                  <w:r w:rsidRPr="0009358B">
                    <w:rPr>
                      <w:rFonts w:ascii="Arial" w:eastAsia="Times New Roman" w:hAnsi="Arial" w:cs="Arial"/>
                      <w:sz w:val="18"/>
                      <w:szCs w:val="20"/>
                      <w:lang w:eastAsia="en-AU"/>
                    </w:rPr>
                    <w:t xml:space="preserve"> approved by Council prior to the commencement of any preservation, maintenance, repair and restoration works.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Demolition and removal </w:t>
            </w:r>
            <w:proofErr w:type="gramStart"/>
            <w:r w:rsidRPr="00392A79">
              <w:rPr>
                <w:rFonts w:ascii="Arial" w:eastAsiaTheme="minorEastAsia" w:hAnsi="Arial" w:cs="Arial"/>
                <w:sz w:val="20"/>
                <w:szCs w:val="20"/>
                <w:lang w:eastAsia="en-AU"/>
              </w:rPr>
              <w:t>is</w:t>
            </w:r>
            <w:proofErr w:type="gramEnd"/>
            <w:r w:rsidRPr="00392A79">
              <w:rPr>
                <w:rFonts w:ascii="Arial" w:eastAsiaTheme="minorEastAsia" w:hAnsi="Arial" w:cs="Arial"/>
                <w:sz w:val="20"/>
                <w:szCs w:val="20"/>
                <w:lang w:eastAsia="en-AU"/>
              </w:rPr>
              <w:t xml:space="preserve"> only considered where:</w:t>
            </w:r>
          </w:p>
          <w:p w:rsidR="00392A79" w:rsidRPr="00392A79" w:rsidRDefault="00392A79" w:rsidP="00502327">
            <w:pPr>
              <w:numPr>
                <w:ilvl w:val="0"/>
                <w:numId w:val="5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a report prepared by a suitably qualified conservation architect or conservation engineer demonstrates that the building is structurally unsound and is not reasonably capable of economic repair; or</w:t>
            </w:r>
          </w:p>
          <w:p w:rsidR="00392A79" w:rsidRPr="00392A79" w:rsidRDefault="00392A79" w:rsidP="00502327">
            <w:pPr>
              <w:numPr>
                <w:ilvl w:val="0"/>
                <w:numId w:val="5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demolition is confined to the removal of outbuildings, extensions and alterations that are not part of the original structure; or</w:t>
            </w:r>
          </w:p>
          <w:p w:rsidR="00392A79" w:rsidRPr="00392A79" w:rsidRDefault="00392A79" w:rsidP="00502327">
            <w:pPr>
              <w:numPr>
                <w:ilvl w:val="0"/>
                <w:numId w:val="5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 xml:space="preserve">limited demolition is performed </w:t>
            </w:r>
            <w:proofErr w:type="gramStart"/>
            <w:r w:rsidRPr="00392A79">
              <w:rPr>
                <w:rFonts w:ascii="Arial" w:eastAsia="Times New Roman" w:hAnsi="Arial" w:cs="Arial"/>
                <w:sz w:val="20"/>
                <w:szCs w:val="20"/>
                <w:lang w:eastAsia="en-AU"/>
              </w:rPr>
              <w:t>in the course of</w:t>
            </w:r>
            <w:proofErr w:type="gramEnd"/>
            <w:r w:rsidRPr="00392A79">
              <w:rPr>
                <w:rFonts w:ascii="Arial" w:eastAsia="Times New Roman" w:hAnsi="Arial" w:cs="Arial"/>
                <w:sz w:val="20"/>
                <w:szCs w:val="20"/>
                <w:lang w:eastAsia="en-AU"/>
              </w:rPr>
              <w:t xml:space="preserve"> repairs, maintenance or restoration; or</w:t>
            </w:r>
          </w:p>
          <w:p w:rsidR="00392A79" w:rsidRPr="00392A79" w:rsidRDefault="00392A79" w:rsidP="00502327">
            <w:pPr>
              <w:numPr>
                <w:ilvl w:val="0"/>
                <w:numId w:val="54"/>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demolition is performed following a catastrophic event which substantially destroys the building or object.</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rHeight w:val="1515"/>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PO73</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5D01EC" w:rsidRPr="00392A79" w:rsidTr="005D01E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D01EC" w:rsidRPr="00392A79" w:rsidRDefault="005D01EC"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5D01EC" w:rsidRPr="00392A79" w:rsidTr="00392A79">
              <w:trPr>
                <w:tblCellSpacing w:w="15" w:type="dxa"/>
              </w:trPr>
              <w:tc>
                <w:tcPr>
                  <w:tcW w:w="14944" w:type="dxa"/>
                  <w:vAlign w:val="center"/>
                  <w:hideMark/>
                </w:tcPr>
                <w:p w:rsidR="005D01EC" w:rsidRPr="00392A79" w:rsidRDefault="005D01EC" w:rsidP="00392A79">
                  <w:pPr>
                    <w:spacing w:before="100" w:beforeAutospacing="1" w:after="100" w:afterAutospacing="1" w:line="240" w:lineRule="auto"/>
                    <w:rPr>
                      <w:rFonts w:ascii="Arial" w:eastAsiaTheme="minorEastAsia" w:hAnsi="Arial" w:cs="Arial"/>
                      <w:sz w:val="20"/>
                      <w:szCs w:val="20"/>
                      <w:lang w:eastAsia="en-AU"/>
                    </w:rPr>
                  </w:pPr>
                  <w:r w:rsidRPr="005D01EC">
                    <w:rPr>
                      <w:rFonts w:ascii="Arial" w:eastAsiaTheme="minorEastAsia" w:hAnsi="Arial" w:cs="Arial"/>
                      <w:sz w:val="18"/>
                      <w:szCs w:val="18"/>
                      <w:lang w:eastAsia="en-AU"/>
                    </w:rPr>
                    <w:lastRenderedPageBreak/>
                    <w:t>Note - The applicable river and creek flood planning levels associated with defined flood event (DFE) within the inundation area can be obtained by requesting a flood check property report from Council.</w:t>
                  </w:r>
                </w:p>
              </w:tc>
            </w:tr>
          </w:tbl>
          <w:p w:rsidR="005D01EC" w:rsidRPr="00392A79" w:rsidRDefault="005D01EC"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PO74</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w:t>
            </w:r>
          </w:p>
          <w:p w:rsidR="00392A79" w:rsidRPr="00392A79" w:rsidRDefault="00392A79" w:rsidP="00502327">
            <w:pPr>
              <w:numPr>
                <w:ilvl w:val="0"/>
                <w:numId w:val="55"/>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minimises the risk to persons from overland flow;</w:t>
            </w:r>
          </w:p>
          <w:p w:rsidR="00392A79" w:rsidRPr="00392A79" w:rsidRDefault="00392A79" w:rsidP="00502327">
            <w:pPr>
              <w:numPr>
                <w:ilvl w:val="0"/>
                <w:numId w:val="55"/>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does not increase the potential for damage from overland flow either on the premises or other premises, public land, watercourses, roads or infrastructure.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PO75</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w:t>
            </w:r>
          </w:p>
          <w:p w:rsidR="00392A79" w:rsidRPr="00392A79" w:rsidRDefault="00392A79" w:rsidP="00502327">
            <w:pPr>
              <w:numPr>
                <w:ilvl w:val="0"/>
                <w:numId w:val="5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maintains the conveyance of overland flow predominantly unimpeded through the premises for any event up to and including the 1% AEP for the fully developed upstream catchment;</w:t>
            </w:r>
          </w:p>
          <w:p w:rsidR="00392A79" w:rsidRPr="00392A79" w:rsidRDefault="00392A79" w:rsidP="00502327">
            <w:pPr>
              <w:numPr>
                <w:ilvl w:val="0"/>
                <w:numId w:val="56"/>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09358B">
                    <w:rPr>
                      <w:rFonts w:ascii="Arial" w:eastAsia="Times New Roman" w:hAnsi="Arial" w:cs="Arial"/>
                      <w:sz w:val="18"/>
                      <w:szCs w:val="20"/>
                      <w:lang w:eastAsia="en-AU"/>
                    </w:rPr>
                    <w:t>upstream, downstream or surrounding premises</w:t>
                  </w:r>
                  <w:proofErr w:type="gramEnd"/>
                  <w:r w:rsidRPr="0009358B">
                    <w:rPr>
                      <w:rFonts w:ascii="Arial" w:eastAsia="Times New Roman" w:hAnsi="Arial" w:cs="Arial"/>
                      <w:sz w:val="18"/>
                      <w:szCs w:val="20"/>
                      <w:lang w:eastAsia="en-AU"/>
                    </w:rPr>
                    <w:t>.</w:t>
                  </w:r>
                </w:p>
              </w:tc>
            </w:tr>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Reporting to be prepared in accordance with Planning scheme policy – Flood hazard, Coastal hazard and Overland flow.</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PO76</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does not:</w:t>
            </w:r>
          </w:p>
          <w:p w:rsidR="00392A79" w:rsidRPr="00392A79" w:rsidRDefault="00392A79" w:rsidP="00502327">
            <w:pPr>
              <w:numPr>
                <w:ilvl w:val="0"/>
                <w:numId w:val="5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directly, indirectly or cumulatively cause any increase in overland flow velocity or level;</w:t>
            </w:r>
          </w:p>
          <w:p w:rsidR="00392A79" w:rsidRPr="00392A79" w:rsidRDefault="00392A79" w:rsidP="00502327">
            <w:pPr>
              <w:numPr>
                <w:ilvl w:val="0"/>
                <w:numId w:val="57"/>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Open concrete drains greater than 1m in width are not an acceptable outcome, nor are any other design options that may increase scouring.</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ensures that public safety and the risk to the environment are not adversely affected by a detrimental impact of overland flow on a hazardous chemical located or stored on the premises.</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E77</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16"/>
            </w:tblGrid>
            <w:tr w:rsidR="00392A79" w:rsidRPr="00392A79" w:rsidTr="00392A79">
              <w:trPr>
                <w:tblCellSpacing w:w="15" w:type="dxa"/>
              </w:trPr>
              <w:tc>
                <w:tcPr>
                  <w:tcW w:w="4949" w:type="dxa"/>
                  <w:vAlign w:val="center"/>
                  <w:hideMark/>
                </w:tcPr>
                <w:p w:rsidR="00392A79" w:rsidRPr="00392A79" w:rsidRDefault="00392A79" w:rsidP="00392A79">
                  <w:pPr>
                    <w:spacing w:after="0" w:line="240" w:lineRule="auto"/>
                    <w:rPr>
                      <w:rFonts w:ascii="Arial" w:eastAsia="Times New Roman" w:hAnsi="Arial" w:cs="Arial"/>
                      <w:sz w:val="20"/>
                      <w:szCs w:val="20"/>
                      <w:lang w:eastAsia="en-AU"/>
                    </w:rPr>
                  </w:pPr>
                  <w:r w:rsidRPr="0009358B">
                    <w:rPr>
                      <w:rFonts w:ascii="Arial" w:eastAsia="Times New Roman" w:hAnsi="Arial" w:cs="Arial"/>
                      <w:sz w:val="18"/>
                      <w:szCs w:val="20"/>
                      <w:lang w:eastAsia="en-AU"/>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which is not in a Rural zone ensures that overland flow is not conveyed from a road or public open space onto a private lot.</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E78</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which is not in a Rural zone that an overland flow paths and drainage infrastructure is provided to convey overland flow from a road or public open space area away from a private lot.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vMerge w:val="restar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PO79</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392A79">
              <w:rPr>
                <w:rFonts w:ascii="Arial" w:eastAsiaTheme="minorEastAsia" w:hAnsi="Arial" w:cs="Arial"/>
                <w:sz w:val="20"/>
                <w:szCs w:val="20"/>
                <w:lang w:eastAsia="en-AU"/>
              </w:rPr>
              <w:t>are able to</w:t>
            </w:r>
            <w:proofErr w:type="gramEnd"/>
            <w:r w:rsidRPr="00392A79">
              <w:rPr>
                <w:rFonts w:ascii="Arial" w:eastAsiaTheme="minorEastAsia" w:hAnsi="Arial" w:cs="Arial"/>
                <w:sz w:val="20"/>
                <w:szCs w:val="20"/>
                <w:lang w:eastAsia="en-AU"/>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09358B">
                    <w:rPr>
                      <w:rFonts w:ascii="Arial" w:eastAsia="Times New Roman" w:hAnsi="Arial" w:cs="Arial"/>
                      <w:sz w:val="18"/>
                      <w:szCs w:val="20"/>
                      <w:lang w:eastAsia="en-AU"/>
                    </w:rPr>
                    <w:t>upstream, downstream or surrounding premises</w:t>
                  </w:r>
                  <w:proofErr w:type="gramEnd"/>
                  <w:r w:rsidRPr="0009358B">
                    <w:rPr>
                      <w:rFonts w:ascii="Arial" w:eastAsia="Times New Roman" w:hAnsi="Arial" w:cs="Arial"/>
                      <w:sz w:val="18"/>
                      <w:szCs w:val="20"/>
                      <w:lang w:eastAsia="en-AU"/>
                    </w:rPr>
                    <w:t>.</w:t>
                  </w:r>
                </w:p>
              </w:tc>
            </w:tr>
            <w:tr w:rsidR="00392A79" w:rsidRPr="00392A79" w:rsidTr="00392A79">
              <w:trPr>
                <w:tblCellSpacing w:w="15" w:type="dxa"/>
              </w:trPr>
              <w:tc>
                <w:tcPr>
                  <w:tcW w:w="9815" w:type="dxa"/>
                  <w:vAlign w:val="center"/>
                  <w:hideMark/>
                </w:tcPr>
                <w:p w:rsidR="00392A79" w:rsidRPr="0009358B" w:rsidRDefault="00392A79" w:rsidP="00392A79">
                  <w:pPr>
                    <w:spacing w:after="0" w:line="240" w:lineRule="auto"/>
                    <w:rPr>
                      <w:rFonts w:ascii="Arial" w:eastAsia="Times New Roman" w:hAnsi="Arial" w:cs="Arial"/>
                      <w:sz w:val="18"/>
                      <w:szCs w:val="20"/>
                      <w:lang w:eastAsia="en-AU"/>
                    </w:rPr>
                  </w:pPr>
                  <w:r w:rsidRPr="0009358B">
                    <w:rPr>
                      <w:rFonts w:ascii="Arial" w:eastAsia="Times New Roman" w:hAnsi="Arial" w:cs="Arial"/>
                      <w:sz w:val="18"/>
                      <w:szCs w:val="20"/>
                      <w:lang w:eastAsia="en-AU"/>
                    </w:rPr>
                    <w:t>Note - Reporting to be prepared in accordance with Planning scheme policy – Flood hazard, Coastal hazard and Overland flow</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E79.1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ensures that roof and allotment drainage infrastructure is provided in accordance with the following relevant level as identified in QUDM:</w:t>
            </w:r>
          </w:p>
          <w:p w:rsidR="00392A79" w:rsidRPr="00392A79" w:rsidRDefault="00392A79" w:rsidP="00502327">
            <w:pPr>
              <w:numPr>
                <w:ilvl w:val="0"/>
                <w:numId w:val="5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Urban area – Level III;</w:t>
            </w:r>
          </w:p>
          <w:p w:rsidR="00392A79" w:rsidRPr="00392A79" w:rsidRDefault="00392A79" w:rsidP="00502327">
            <w:pPr>
              <w:numPr>
                <w:ilvl w:val="0"/>
                <w:numId w:val="5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Rural area – N/A;</w:t>
            </w:r>
          </w:p>
          <w:p w:rsidR="00392A79" w:rsidRPr="00392A79" w:rsidRDefault="00392A79" w:rsidP="00502327">
            <w:pPr>
              <w:numPr>
                <w:ilvl w:val="0"/>
                <w:numId w:val="5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Industrial area – Level V;</w:t>
            </w:r>
          </w:p>
          <w:p w:rsidR="00392A79" w:rsidRPr="00392A79" w:rsidRDefault="00392A79" w:rsidP="00502327">
            <w:pPr>
              <w:numPr>
                <w:ilvl w:val="0"/>
                <w:numId w:val="58"/>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lastRenderedPageBreak/>
              <w:t>Commercial area – Level V.</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1590"/>
          <w:tblCellSpacing w:w="15" w:type="dxa"/>
        </w:trPr>
        <w:tc>
          <w:tcPr>
            <w:tcW w:w="1702" w:type="pct"/>
            <w:vMerge/>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E79.2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ensures that inter-allotment drainage infrastructure is designed to accommodate any event up to and including the 1% AEP for the fully developed upstream catchment.</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rHeight w:val="4138"/>
          <w:tblCellSpacing w:w="15" w:type="dxa"/>
        </w:trPr>
        <w:tc>
          <w:tcPr>
            <w:tcW w:w="1702"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PO80</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protects the conveyance of overland flow such that an easement for drainage purposes is provided over:</w:t>
            </w:r>
          </w:p>
          <w:p w:rsidR="00392A79" w:rsidRPr="00392A79" w:rsidRDefault="00392A79" w:rsidP="00502327">
            <w:pPr>
              <w:numPr>
                <w:ilvl w:val="0"/>
                <w:numId w:val="5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 stormwater pipe if the nominal pipe diameter exceeds 300mm;</w:t>
            </w:r>
          </w:p>
          <w:p w:rsidR="00392A79" w:rsidRPr="00392A79" w:rsidRDefault="00392A79" w:rsidP="00502327">
            <w:pPr>
              <w:numPr>
                <w:ilvl w:val="0"/>
                <w:numId w:val="5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an overland flow path where it crosses more than one premises;</w:t>
            </w:r>
          </w:p>
          <w:p w:rsidR="00392A79" w:rsidRPr="00392A79" w:rsidRDefault="00392A79" w:rsidP="00502327">
            <w:pPr>
              <w:numPr>
                <w:ilvl w:val="0"/>
                <w:numId w:val="59"/>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20"/>
            </w:tblGrid>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Refer to Planning scheme policy - Integrated design for details and examples.</w:t>
                  </w:r>
                </w:p>
              </w:tc>
            </w:tr>
            <w:tr w:rsidR="00392A79" w:rsidRPr="00392A79" w:rsidTr="00392A79">
              <w:trPr>
                <w:tblCellSpacing w:w="15" w:type="dxa"/>
              </w:trPr>
              <w:tc>
                <w:tcPr>
                  <w:tcW w:w="9815" w:type="dxa"/>
                  <w:vAlign w:val="center"/>
                  <w:hideMark/>
                </w:tcPr>
                <w:p w:rsidR="00392A79" w:rsidRPr="0009358B" w:rsidRDefault="00392A79" w:rsidP="00392A79">
                  <w:pPr>
                    <w:spacing w:before="100" w:beforeAutospacing="1" w:after="100" w:afterAutospacing="1" w:line="240" w:lineRule="auto"/>
                    <w:rPr>
                      <w:rFonts w:ascii="Arial" w:eastAsiaTheme="minorEastAsia" w:hAnsi="Arial" w:cs="Arial"/>
                      <w:sz w:val="18"/>
                      <w:szCs w:val="20"/>
                      <w:lang w:eastAsia="en-AU"/>
                    </w:rPr>
                  </w:pPr>
                  <w:r w:rsidRPr="0009358B">
                    <w:rPr>
                      <w:rFonts w:ascii="Arial" w:eastAsiaTheme="minorEastAsia" w:hAnsi="Arial" w:cs="Arial"/>
                      <w:sz w:val="18"/>
                      <w:szCs w:val="20"/>
                      <w:lang w:eastAsia="en-AU"/>
                    </w:rPr>
                    <w:t>Note - Stormwater Drainage easement dimensions are provided in accordance with Section 3.8.5 of QUDM.</w:t>
                  </w:r>
                </w:p>
              </w:tc>
            </w:tr>
          </w:tbl>
          <w:p w:rsidR="00392A79" w:rsidRPr="00392A79" w:rsidRDefault="00392A79" w:rsidP="00392A79">
            <w:pPr>
              <w:spacing w:after="0" w:line="240" w:lineRule="auto"/>
              <w:rPr>
                <w:rFonts w:ascii="Arial" w:eastAsia="Times New Roman" w:hAnsi="Arial" w:cs="Arial"/>
                <w:sz w:val="20"/>
                <w:szCs w:val="20"/>
                <w:lang w:eastAsia="en-AU"/>
              </w:rPr>
            </w:pP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No example provided.</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p>
        </w:tc>
      </w:tr>
      <w:tr w:rsidR="00392A79" w:rsidRPr="00392A79" w:rsidTr="005D01EC">
        <w:trPr>
          <w:tblCellSpacing w:w="15" w:type="dxa"/>
        </w:trPr>
        <w:tc>
          <w:tcPr>
            <w:tcW w:w="3370" w:type="pct"/>
            <w:gridSpan w:val="2"/>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Additional criteria for development for a Park</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vAlign w:val="center"/>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PO81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for a Park</w:t>
            </w:r>
            <w:r w:rsidRPr="00392A79">
              <w:rPr>
                <w:rFonts w:ascii="Arial" w:eastAsiaTheme="minorEastAsia" w:hAnsi="Arial" w:cs="Arial"/>
                <w:sz w:val="20"/>
                <w:szCs w:val="20"/>
                <w:vertAlign w:val="superscript"/>
                <w:lang w:eastAsia="en-AU"/>
              </w:rPr>
              <w:t>(</w:t>
            </w:r>
            <w:hyperlink r:id="rId3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92A79">
                <w:rPr>
                  <w:rFonts w:ascii="Arial" w:eastAsiaTheme="minorEastAsia" w:hAnsi="Arial" w:cs="Arial"/>
                  <w:color w:val="0000FF"/>
                  <w:sz w:val="20"/>
                  <w:szCs w:val="20"/>
                  <w:u w:val="single"/>
                  <w:vertAlign w:val="superscript"/>
                  <w:lang w:eastAsia="en-AU"/>
                </w:rPr>
                <w:t>57</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ensures that the design and layout responds to the nature of the overland flow affecting the premises such that:</w:t>
            </w:r>
          </w:p>
          <w:p w:rsidR="00392A79" w:rsidRPr="00392A79" w:rsidRDefault="00392A79" w:rsidP="00502327">
            <w:pPr>
              <w:numPr>
                <w:ilvl w:val="0"/>
                <w:numId w:val="6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 xml:space="preserve">public benefit and enjoyment </w:t>
            </w:r>
            <w:proofErr w:type="gramStart"/>
            <w:r w:rsidRPr="00392A79">
              <w:rPr>
                <w:rFonts w:ascii="Arial" w:eastAsiaTheme="minorEastAsia" w:hAnsi="Arial" w:cs="Arial"/>
                <w:sz w:val="20"/>
                <w:szCs w:val="20"/>
                <w:lang w:eastAsia="en-AU"/>
              </w:rPr>
              <w:t>is</w:t>
            </w:r>
            <w:proofErr w:type="gramEnd"/>
            <w:r w:rsidRPr="00392A79">
              <w:rPr>
                <w:rFonts w:ascii="Arial" w:eastAsiaTheme="minorEastAsia" w:hAnsi="Arial" w:cs="Arial"/>
                <w:sz w:val="20"/>
                <w:szCs w:val="20"/>
                <w:lang w:eastAsia="en-AU"/>
              </w:rPr>
              <w:t xml:space="preserve"> maximised;</w:t>
            </w:r>
          </w:p>
          <w:p w:rsidR="00392A79" w:rsidRPr="00392A79" w:rsidRDefault="00392A79" w:rsidP="00502327">
            <w:pPr>
              <w:numPr>
                <w:ilvl w:val="0"/>
                <w:numId w:val="6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impacts on the asset life and integrity of park structures is minimised;</w:t>
            </w:r>
          </w:p>
          <w:p w:rsidR="00392A79" w:rsidRPr="00392A79" w:rsidRDefault="00392A79" w:rsidP="00502327">
            <w:pPr>
              <w:numPr>
                <w:ilvl w:val="0"/>
                <w:numId w:val="60"/>
              </w:num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lastRenderedPageBreak/>
              <w:t>maintenance and replacement costs are minimised.</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lastRenderedPageBreak/>
              <w:t>E81</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for a Park</w:t>
            </w:r>
            <w:r w:rsidRPr="00392A79">
              <w:rPr>
                <w:rFonts w:ascii="Arial" w:eastAsiaTheme="minorEastAsia" w:hAnsi="Arial" w:cs="Arial"/>
                <w:sz w:val="20"/>
                <w:szCs w:val="20"/>
                <w:vertAlign w:val="superscript"/>
                <w:lang w:eastAsia="en-AU"/>
              </w:rPr>
              <w:t>(</w:t>
            </w:r>
            <w:hyperlink r:id="rId3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92A79">
                <w:rPr>
                  <w:rFonts w:ascii="Arial" w:eastAsiaTheme="minorEastAsia" w:hAnsi="Arial" w:cs="Arial"/>
                  <w:color w:val="0000FF"/>
                  <w:sz w:val="20"/>
                  <w:szCs w:val="20"/>
                  <w:u w:val="single"/>
                  <w:vertAlign w:val="superscript"/>
                  <w:lang w:eastAsia="en-AU"/>
                </w:rPr>
                <w:t>57</w:t>
              </w:r>
            </w:hyperlink>
            <w:r w:rsidRPr="00392A79">
              <w:rPr>
                <w:rFonts w:ascii="Arial" w:eastAsiaTheme="minorEastAsia" w:hAnsi="Arial" w:cs="Arial"/>
                <w:sz w:val="20"/>
                <w:szCs w:val="20"/>
                <w:vertAlign w:val="superscript"/>
                <w:lang w:eastAsia="en-AU"/>
              </w:rPr>
              <w:t>)</w:t>
            </w:r>
            <w:r w:rsidRPr="00392A79">
              <w:rPr>
                <w:rFonts w:ascii="Arial" w:eastAsiaTheme="minorEastAsia" w:hAnsi="Arial" w:cs="Arial"/>
                <w:sz w:val="20"/>
                <w:szCs w:val="20"/>
                <w:lang w:eastAsia="en-AU"/>
              </w:rPr>
              <w:t xml:space="preserve"> ensures works are provided in accordance with the requirements set out in Appendix B of the Planning scheme policy - Integrated design.</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r w:rsidR="005D01EC" w:rsidRPr="00392A79" w:rsidTr="005D01EC">
        <w:trPr>
          <w:trHeight w:val="374"/>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D01EC" w:rsidRPr="00392A79" w:rsidRDefault="005D01EC" w:rsidP="00392A79">
            <w:pPr>
              <w:spacing w:before="100" w:beforeAutospacing="1" w:after="100" w:afterAutospacing="1" w:line="240" w:lineRule="auto"/>
              <w:rPr>
                <w:rFonts w:ascii="Arial" w:eastAsiaTheme="minorEastAsia" w:hAnsi="Arial" w:cs="Arial"/>
                <w:b/>
                <w:bCs/>
                <w:sz w:val="20"/>
                <w:szCs w:val="20"/>
                <w:lang w:eastAsia="en-AU"/>
              </w:rPr>
            </w:pPr>
            <w:r w:rsidRPr="00392A79">
              <w:rPr>
                <w:rFonts w:ascii="Arial" w:eastAsiaTheme="minorEastAsia" w:hAnsi="Arial" w:cs="Arial"/>
                <w:b/>
                <w:bCs/>
                <w:sz w:val="20"/>
                <w:szCs w:val="20"/>
                <w:lang w:eastAsia="en-AU"/>
              </w:rPr>
              <w:t>Infrastructure buffers (refer Overlay map - Infrastructure buffers to determine if the following assessment criteria apply)</w:t>
            </w:r>
          </w:p>
        </w:tc>
      </w:tr>
      <w:tr w:rsidR="00E913AC" w:rsidRPr="00392A79" w:rsidTr="005D01EC">
        <w:trPr>
          <w:tblCellSpacing w:w="15" w:type="dxa"/>
        </w:trPr>
        <w:tc>
          <w:tcPr>
            <w:tcW w:w="1702"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PO82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Development within a High voltage electricity line buffer:</w:t>
            </w:r>
          </w:p>
          <w:p w:rsidR="00392A79" w:rsidRPr="00392A79" w:rsidRDefault="00392A79" w:rsidP="00502327">
            <w:pPr>
              <w:numPr>
                <w:ilvl w:val="0"/>
                <w:numId w:val="6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located and designed to avoid any potential adverse impacts on personal health and wellbeing from electromagnetic fields;</w:t>
            </w:r>
          </w:p>
          <w:p w:rsidR="00392A79" w:rsidRPr="00392A79" w:rsidRDefault="00392A79" w:rsidP="00502327">
            <w:pPr>
              <w:numPr>
                <w:ilvl w:val="0"/>
                <w:numId w:val="6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located and designed in a manner that maintains a high level of security of supply;</w:t>
            </w:r>
          </w:p>
          <w:p w:rsidR="00392A79" w:rsidRPr="00392A79" w:rsidRDefault="00392A79" w:rsidP="00502327">
            <w:pPr>
              <w:numPr>
                <w:ilvl w:val="0"/>
                <w:numId w:val="61"/>
              </w:numPr>
              <w:spacing w:before="100" w:beforeAutospacing="1" w:after="100" w:afterAutospacing="1" w:line="240" w:lineRule="auto"/>
              <w:rPr>
                <w:rFonts w:ascii="Arial" w:eastAsia="Times New Roman" w:hAnsi="Arial" w:cs="Arial"/>
                <w:sz w:val="20"/>
                <w:szCs w:val="20"/>
                <w:lang w:eastAsia="en-AU"/>
              </w:rPr>
            </w:pPr>
            <w:r w:rsidRPr="00392A79">
              <w:rPr>
                <w:rFonts w:ascii="Arial" w:eastAsia="Times New Roman" w:hAnsi="Arial" w:cs="Arial"/>
                <w:sz w:val="20"/>
                <w:szCs w:val="20"/>
                <w:lang w:eastAsia="en-AU"/>
              </w:rPr>
              <w:t>is located and designed so not to impede upon the functioning and maintenance of high voltage electrical infrastructure.</w:t>
            </w:r>
          </w:p>
        </w:tc>
        <w:tc>
          <w:tcPr>
            <w:tcW w:w="1658" w:type="pct"/>
            <w:tcBorders>
              <w:top w:val="outset" w:sz="6" w:space="0" w:color="auto"/>
              <w:left w:val="outset" w:sz="6" w:space="0" w:color="auto"/>
              <w:bottom w:val="outset" w:sz="6" w:space="0" w:color="auto"/>
              <w:right w:val="outset" w:sz="6" w:space="0" w:color="auto"/>
            </w:tcBorders>
            <w:hideMark/>
          </w:tcPr>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b/>
                <w:bCs/>
                <w:sz w:val="20"/>
                <w:szCs w:val="20"/>
                <w:lang w:eastAsia="en-AU"/>
              </w:rPr>
              <w:t>E82</w:t>
            </w:r>
          </w:p>
          <w:p w:rsidR="00392A79" w:rsidRPr="00392A79" w:rsidRDefault="00392A79" w:rsidP="00392A79">
            <w:pPr>
              <w:spacing w:before="100" w:beforeAutospacing="1" w:after="100" w:afterAutospacing="1" w:line="240" w:lineRule="auto"/>
              <w:rPr>
                <w:rFonts w:ascii="Arial" w:eastAsiaTheme="minorEastAsia" w:hAnsi="Arial" w:cs="Arial"/>
                <w:sz w:val="20"/>
                <w:szCs w:val="20"/>
                <w:lang w:eastAsia="en-AU"/>
              </w:rPr>
            </w:pPr>
            <w:r w:rsidRPr="00392A79">
              <w:rPr>
                <w:rFonts w:ascii="Arial" w:eastAsiaTheme="minorEastAsia" w:hAnsi="Arial" w:cs="Arial"/>
                <w:sz w:val="20"/>
                <w:szCs w:val="20"/>
                <w:lang w:eastAsia="en-AU"/>
              </w:rPr>
              <w:t>Except where located on an approved Neighbourhood development plan, development does not involve the construction of any buildings or structures within a high voltage electricity line buffer.</w:t>
            </w:r>
          </w:p>
        </w:tc>
        <w:tc>
          <w:tcPr>
            <w:tcW w:w="738"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392A79" w:rsidRPr="00392A79" w:rsidRDefault="00392A79" w:rsidP="00392A79">
            <w:pPr>
              <w:spacing w:before="100" w:beforeAutospacing="1" w:after="100" w:afterAutospacing="1" w:line="240" w:lineRule="auto"/>
              <w:rPr>
                <w:rFonts w:ascii="Arial" w:eastAsiaTheme="minorEastAsia" w:hAnsi="Arial" w:cs="Arial"/>
                <w:b/>
                <w:bCs/>
                <w:sz w:val="20"/>
                <w:szCs w:val="20"/>
                <w:lang w:eastAsia="en-AU"/>
              </w:rPr>
            </w:pPr>
          </w:p>
        </w:tc>
      </w:tr>
    </w:tbl>
    <w:p w:rsidR="0085280F" w:rsidRPr="00392A79" w:rsidRDefault="0085280F">
      <w:pPr>
        <w:rPr>
          <w:rFonts w:ascii="Arial" w:hAnsi="Arial" w:cs="Arial"/>
          <w:sz w:val="20"/>
          <w:szCs w:val="20"/>
        </w:rPr>
      </w:pPr>
      <w:bookmarkStart w:id="0" w:name="_GoBack"/>
      <w:bookmarkEnd w:id="0"/>
    </w:p>
    <w:sectPr w:rsidR="0085280F" w:rsidRPr="00392A79" w:rsidSect="00392A79">
      <w:headerReference w:type="even" r:id="rId35"/>
      <w:headerReference w:type="default" r:id="rId36"/>
      <w:footerReference w:type="even" r:id="rId37"/>
      <w:footerReference w:type="default" r:id="rId38"/>
      <w:headerReference w:type="first" r:id="rId39"/>
      <w:footerReference w:type="first" r:id="rId4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B10" w:rsidRDefault="003E5B10" w:rsidP="00BD7990">
      <w:pPr>
        <w:spacing w:after="0" w:line="240" w:lineRule="auto"/>
      </w:pPr>
      <w:r>
        <w:separator/>
      </w:r>
    </w:p>
  </w:endnote>
  <w:endnote w:type="continuationSeparator" w:id="0">
    <w:p w:rsidR="003E5B10" w:rsidRDefault="003E5B10" w:rsidP="00BD7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10" w:rsidRDefault="003E5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10" w:rsidRPr="00BD7990" w:rsidRDefault="003E5B10" w:rsidP="00BD7990">
    <w:pPr>
      <w:pStyle w:val="Footer"/>
    </w:pPr>
    <w:r w:rsidRPr="00BD7990">
      <w:rPr>
        <w:i/>
      </w:rPr>
      <w:t>MBRC Planning Scheme V</w:t>
    </w:r>
    <w:r>
      <w:rPr>
        <w:i/>
      </w:rPr>
      <w:t>5</w:t>
    </w:r>
    <w:r w:rsidRPr="00BD7990">
      <w:rPr>
        <w:i/>
      </w:rPr>
      <w:t xml:space="preserve"> - Caboolture West local plan - Town centre precinct - </w:t>
    </w:r>
    <w:r>
      <w:rPr>
        <w:i/>
      </w:rPr>
      <w:t>Specialised centre</w:t>
    </w:r>
    <w:r w:rsidRPr="00BD7990">
      <w:rPr>
        <w:i/>
      </w:rPr>
      <w:t xml:space="preserve"> sub-precinct - Assessable </w:t>
    </w:r>
    <w:r w:rsidRPr="00BD7990">
      <w:rPr>
        <w:i/>
      </w:rPr>
      <w:tab/>
    </w:r>
    <w:r w:rsidRPr="00BD7990">
      <w:rPr>
        <w:i/>
      </w:rPr>
      <w:tab/>
    </w:r>
    <w:r w:rsidRPr="00BD7990">
      <w:rPr>
        <w:i/>
      </w:rPr>
      <w:tab/>
    </w:r>
    <w:r w:rsidRPr="00BD7990">
      <w:rPr>
        <w:i/>
      </w:rPr>
      <w:tab/>
    </w:r>
    <w:r w:rsidRPr="00BD7990">
      <w:rPr>
        <w:i/>
      </w:rPr>
      <w:tab/>
    </w:r>
    <w:r w:rsidRPr="00BD7990">
      <w:rPr>
        <w:i/>
      </w:rPr>
      <w:fldChar w:fldCharType="begin"/>
    </w:r>
    <w:r w:rsidRPr="00BD7990">
      <w:rPr>
        <w:i/>
      </w:rPr>
      <w:instrText xml:space="preserve"> PAGE   \* MERGEFORMAT </w:instrText>
    </w:r>
    <w:r w:rsidRPr="00BD7990">
      <w:rPr>
        <w:i/>
      </w:rPr>
      <w:fldChar w:fldCharType="separate"/>
    </w:r>
    <w:r w:rsidRPr="00BD7990">
      <w:rPr>
        <w:i/>
      </w:rPr>
      <w:t>1</w:t>
    </w:r>
    <w:r w:rsidRPr="00BD7990">
      <w:fldChar w:fldCharType="end"/>
    </w:r>
  </w:p>
  <w:p w:rsidR="003E5B10" w:rsidRDefault="003E5B10">
    <w:pPr>
      <w:pStyle w:val="Footer"/>
    </w:pPr>
  </w:p>
  <w:p w:rsidR="003E5B10" w:rsidRDefault="003E5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10" w:rsidRDefault="003E5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B10" w:rsidRDefault="003E5B10" w:rsidP="00BD7990">
      <w:pPr>
        <w:spacing w:after="0" w:line="240" w:lineRule="auto"/>
      </w:pPr>
      <w:r>
        <w:separator/>
      </w:r>
    </w:p>
  </w:footnote>
  <w:footnote w:type="continuationSeparator" w:id="0">
    <w:p w:rsidR="003E5B10" w:rsidRDefault="003E5B10" w:rsidP="00BD7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10" w:rsidRDefault="003E5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10" w:rsidRDefault="003E5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B10" w:rsidRDefault="003E5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19B8"/>
    <w:multiLevelType w:val="multilevel"/>
    <w:tmpl w:val="969C4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5D6ADF"/>
    <w:multiLevelType w:val="multilevel"/>
    <w:tmpl w:val="79BA4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CB68E5"/>
    <w:multiLevelType w:val="multilevel"/>
    <w:tmpl w:val="A97A2C9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D13973"/>
    <w:multiLevelType w:val="multilevel"/>
    <w:tmpl w:val="6D6AD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144708"/>
    <w:multiLevelType w:val="multilevel"/>
    <w:tmpl w:val="82BE3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0D7C1C"/>
    <w:multiLevelType w:val="multilevel"/>
    <w:tmpl w:val="0E8C6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09045D"/>
    <w:multiLevelType w:val="multilevel"/>
    <w:tmpl w:val="28104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BC4F65"/>
    <w:multiLevelType w:val="multilevel"/>
    <w:tmpl w:val="1598E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CA640A"/>
    <w:multiLevelType w:val="multilevel"/>
    <w:tmpl w:val="4386E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612F48"/>
    <w:multiLevelType w:val="multilevel"/>
    <w:tmpl w:val="2C24D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E200B3"/>
    <w:multiLevelType w:val="multilevel"/>
    <w:tmpl w:val="E2DEF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5A39D0"/>
    <w:multiLevelType w:val="multilevel"/>
    <w:tmpl w:val="491C2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E4730E"/>
    <w:multiLevelType w:val="multilevel"/>
    <w:tmpl w:val="4C9EB7E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4D0A46"/>
    <w:multiLevelType w:val="multilevel"/>
    <w:tmpl w:val="BB94C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9E5BFB"/>
    <w:multiLevelType w:val="multilevel"/>
    <w:tmpl w:val="CA26B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F2F0BCF"/>
    <w:multiLevelType w:val="multilevel"/>
    <w:tmpl w:val="7E586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926CF3"/>
    <w:multiLevelType w:val="multilevel"/>
    <w:tmpl w:val="D2906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1F14260"/>
    <w:multiLevelType w:val="multilevel"/>
    <w:tmpl w:val="560A15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2137D18"/>
    <w:multiLevelType w:val="multilevel"/>
    <w:tmpl w:val="972601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49B0BB6"/>
    <w:multiLevelType w:val="multilevel"/>
    <w:tmpl w:val="EAF43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DE9032D"/>
    <w:multiLevelType w:val="multilevel"/>
    <w:tmpl w:val="0A0CC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F9E7625"/>
    <w:multiLevelType w:val="multilevel"/>
    <w:tmpl w:val="9ADA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54ADA"/>
    <w:multiLevelType w:val="multilevel"/>
    <w:tmpl w:val="829AB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5D736C9"/>
    <w:multiLevelType w:val="multilevel"/>
    <w:tmpl w:val="06E61B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77125B6"/>
    <w:multiLevelType w:val="multilevel"/>
    <w:tmpl w:val="EA36B3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87354E1"/>
    <w:multiLevelType w:val="multilevel"/>
    <w:tmpl w:val="03DECB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94C4DA7"/>
    <w:multiLevelType w:val="multilevel"/>
    <w:tmpl w:val="A8EC0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AAA5CFC"/>
    <w:multiLevelType w:val="multilevel"/>
    <w:tmpl w:val="F350DD3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F252430"/>
    <w:multiLevelType w:val="multilevel"/>
    <w:tmpl w:val="01C2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053800"/>
    <w:multiLevelType w:val="multilevel"/>
    <w:tmpl w:val="47341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377778F"/>
    <w:multiLevelType w:val="multilevel"/>
    <w:tmpl w:val="E3526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46B0EB3"/>
    <w:multiLevelType w:val="multilevel"/>
    <w:tmpl w:val="52E24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7E84CC6"/>
    <w:multiLevelType w:val="multilevel"/>
    <w:tmpl w:val="06B6C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86455DE"/>
    <w:multiLevelType w:val="multilevel"/>
    <w:tmpl w:val="DAFA5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B665844"/>
    <w:multiLevelType w:val="multilevel"/>
    <w:tmpl w:val="DC4E4F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DB56DCF"/>
    <w:multiLevelType w:val="multilevel"/>
    <w:tmpl w:val="F27AB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F6F1544"/>
    <w:multiLevelType w:val="multilevel"/>
    <w:tmpl w:val="0C36D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1090D0C"/>
    <w:multiLevelType w:val="multilevel"/>
    <w:tmpl w:val="674A0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31A5B2D"/>
    <w:multiLevelType w:val="multilevel"/>
    <w:tmpl w:val="139493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5D336A8"/>
    <w:multiLevelType w:val="multilevel"/>
    <w:tmpl w:val="1BE0A7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60D70B4"/>
    <w:multiLevelType w:val="multilevel"/>
    <w:tmpl w:val="F712F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AFB16A2"/>
    <w:multiLevelType w:val="multilevel"/>
    <w:tmpl w:val="0526F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D8D32F8"/>
    <w:multiLevelType w:val="multilevel"/>
    <w:tmpl w:val="31CCC8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AB04BA"/>
    <w:multiLevelType w:val="multilevel"/>
    <w:tmpl w:val="1C5AEC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FA801E6"/>
    <w:multiLevelType w:val="multilevel"/>
    <w:tmpl w:val="1DBAC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FF62712"/>
    <w:multiLevelType w:val="multilevel"/>
    <w:tmpl w:val="3CACE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00E4AFE"/>
    <w:multiLevelType w:val="multilevel"/>
    <w:tmpl w:val="65946D1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1FA067F"/>
    <w:multiLevelType w:val="multilevel"/>
    <w:tmpl w:val="CFD6C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3CA0BC3"/>
    <w:multiLevelType w:val="multilevel"/>
    <w:tmpl w:val="E76CB6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80B45B0"/>
    <w:multiLevelType w:val="multilevel"/>
    <w:tmpl w:val="471A42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9AA66B4"/>
    <w:multiLevelType w:val="multilevel"/>
    <w:tmpl w:val="CC5A3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D6E6946"/>
    <w:multiLevelType w:val="multilevel"/>
    <w:tmpl w:val="FCC60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DA63647"/>
    <w:multiLevelType w:val="multilevel"/>
    <w:tmpl w:val="02E0B5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F542F4B"/>
    <w:multiLevelType w:val="multilevel"/>
    <w:tmpl w:val="164810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F793CC9"/>
    <w:multiLevelType w:val="multilevel"/>
    <w:tmpl w:val="431CD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4B466DF"/>
    <w:multiLevelType w:val="multilevel"/>
    <w:tmpl w:val="96780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6AC7824"/>
    <w:multiLevelType w:val="multilevel"/>
    <w:tmpl w:val="84205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6E879EB"/>
    <w:multiLevelType w:val="multilevel"/>
    <w:tmpl w:val="ED56B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9A45E8C"/>
    <w:multiLevelType w:val="multilevel"/>
    <w:tmpl w:val="B5E0D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CBC7F3C"/>
    <w:multiLevelType w:val="multilevel"/>
    <w:tmpl w:val="DB40E7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F3615D5"/>
    <w:multiLevelType w:val="multilevel"/>
    <w:tmpl w:val="5E94E4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1"/>
  </w:num>
  <w:num w:numId="2">
    <w:abstractNumId w:val="49"/>
  </w:num>
  <w:num w:numId="3">
    <w:abstractNumId w:val="45"/>
  </w:num>
  <w:num w:numId="4">
    <w:abstractNumId w:val="34"/>
  </w:num>
  <w:num w:numId="5">
    <w:abstractNumId w:val="14"/>
  </w:num>
  <w:num w:numId="6">
    <w:abstractNumId w:val="0"/>
  </w:num>
  <w:num w:numId="7">
    <w:abstractNumId w:val="52"/>
  </w:num>
  <w:num w:numId="8">
    <w:abstractNumId w:val="9"/>
  </w:num>
  <w:num w:numId="9">
    <w:abstractNumId w:val="40"/>
  </w:num>
  <w:num w:numId="10">
    <w:abstractNumId w:val="4"/>
  </w:num>
  <w:num w:numId="11">
    <w:abstractNumId w:val="3"/>
  </w:num>
  <w:num w:numId="12">
    <w:abstractNumId w:val="30"/>
  </w:num>
  <w:num w:numId="13">
    <w:abstractNumId w:val="46"/>
  </w:num>
  <w:num w:numId="14">
    <w:abstractNumId w:val="10"/>
  </w:num>
  <w:num w:numId="15">
    <w:abstractNumId w:val="33"/>
  </w:num>
  <w:num w:numId="16">
    <w:abstractNumId w:val="12"/>
  </w:num>
  <w:num w:numId="17">
    <w:abstractNumId w:val="13"/>
  </w:num>
  <w:num w:numId="18">
    <w:abstractNumId w:val="37"/>
  </w:num>
  <w:num w:numId="19">
    <w:abstractNumId w:val="28"/>
  </w:num>
  <w:num w:numId="20">
    <w:abstractNumId w:val="25"/>
  </w:num>
  <w:num w:numId="21">
    <w:abstractNumId w:val="21"/>
  </w:num>
  <w:num w:numId="22">
    <w:abstractNumId w:val="23"/>
  </w:num>
  <w:num w:numId="23">
    <w:abstractNumId w:val="59"/>
  </w:num>
  <w:num w:numId="24">
    <w:abstractNumId w:val="22"/>
  </w:num>
  <w:num w:numId="25">
    <w:abstractNumId w:val="29"/>
  </w:num>
  <w:num w:numId="26">
    <w:abstractNumId w:val="7"/>
  </w:num>
  <w:num w:numId="27">
    <w:abstractNumId w:val="20"/>
  </w:num>
  <w:num w:numId="28">
    <w:abstractNumId w:val="32"/>
  </w:num>
  <w:num w:numId="29">
    <w:abstractNumId w:val="19"/>
  </w:num>
  <w:num w:numId="30">
    <w:abstractNumId w:val="39"/>
  </w:num>
  <w:num w:numId="31">
    <w:abstractNumId w:val="8"/>
  </w:num>
  <w:num w:numId="32">
    <w:abstractNumId w:val="36"/>
  </w:num>
  <w:num w:numId="33">
    <w:abstractNumId w:val="55"/>
  </w:num>
  <w:num w:numId="34">
    <w:abstractNumId w:val="43"/>
  </w:num>
  <w:num w:numId="35">
    <w:abstractNumId w:val="24"/>
  </w:num>
  <w:num w:numId="36">
    <w:abstractNumId w:val="53"/>
  </w:num>
  <w:num w:numId="37">
    <w:abstractNumId w:val="48"/>
  </w:num>
  <w:num w:numId="38">
    <w:abstractNumId w:val="27"/>
  </w:num>
  <w:num w:numId="39">
    <w:abstractNumId w:val="2"/>
  </w:num>
  <w:num w:numId="40">
    <w:abstractNumId w:val="26"/>
  </w:num>
  <w:num w:numId="41">
    <w:abstractNumId w:val="60"/>
  </w:num>
  <w:num w:numId="42">
    <w:abstractNumId w:val="47"/>
  </w:num>
  <w:num w:numId="43">
    <w:abstractNumId w:val="17"/>
  </w:num>
  <w:num w:numId="44">
    <w:abstractNumId w:val="18"/>
  </w:num>
  <w:num w:numId="45">
    <w:abstractNumId w:val="1"/>
  </w:num>
  <w:num w:numId="46">
    <w:abstractNumId w:val="11"/>
  </w:num>
  <w:num w:numId="47">
    <w:abstractNumId w:val="58"/>
  </w:num>
  <w:num w:numId="48">
    <w:abstractNumId w:val="50"/>
  </w:num>
  <w:num w:numId="49">
    <w:abstractNumId w:val="44"/>
  </w:num>
  <w:num w:numId="50">
    <w:abstractNumId w:val="5"/>
  </w:num>
  <w:num w:numId="51">
    <w:abstractNumId w:val="42"/>
  </w:num>
  <w:num w:numId="52">
    <w:abstractNumId w:val="54"/>
  </w:num>
  <w:num w:numId="53">
    <w:abstractNumId w:val="38"/>
  </w:num>
  <w:num w:numId="54">
    <w:abstractNumId w:val="15"/>
  </w:num>
  <w:num w:numId="55">
    <w:abstractNumId w:val="31"/>
  </w:num>
  <w:num w:numId="56">
    <w:abstractNumId w:val="16"/>
  </w:num>
  <w:num w:numId="57">
    <w:abstractNumId w:val="56"/>
  </w:num>
  <w:num w:numId="58">
    <w:abstractNumId w:val="35"/>
  </w:num>
  <w:num w:numId="59">
    <w:abstractNumId w:val="41"/>
  </w:num>
  <w:num w:numId="60">
    <w:abstractNumId w:val="6"/>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79"/>
    <w:rsid w:val="0009358B"/>
    <w:rsid w:val="0016443B"/>
    <w:rsid w:val="001C4FD9"/>
    <w:rsid w:val="00392A79"/>
    <w:rsid w:val="003E5B10"/>
    <w:rsid w:val="00502327"/>
    <w:rsid w:val="005D01EC"/>
    <w:rsid w:val="0085280F"/>
    <w:rsid w:val="00955DC1"/>
    <w:rsid w:val="00BD7990"/>
    <w:rsid w:val="00E91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BD8E7-9CB5-4D0C-86C4-52C01182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2A79"/>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392A79"/>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392A79"/>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392A79"/>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392A79"/>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392A79"/>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A79"/>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92A79"/>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392A79"/>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392A79"/>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392A79"/>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392A79"/>
    <w:rPr>
      <w:rFonts w:ascii="Times New Roman" w:eastAsiaTheme="minorEastAsia" w:hAnsi="Times New Roman" w:cs="Times New Roman"/>
      <w:b/>
      <w:bCs/>
      <w:sz w:val="15"/>
      <w:szCs w:val="15"/>
      <w:lang w:eastAsia="en-AU"/>
    </w:rPr>
  </w:style>
  <w:style w:type="numbering" w:customStyle="1" w:styleId="NoList1">
    <w:name w:val="No List1"/>
    <w:next w:val="NoList"/>
    <w:uiPriority w:val="99"/>
    <w:semiHidden/>
    <w:unhideWhenUsed/>
    <w:rsid w:val="00392A79"/>
  </w:style>
  <w:style w:type="paragraph" w:customStyle="1" w:styleId="msonormal0">
    <w:name w:val="msonormal"/>
    <w:basedOn w:val="Normal"/>
    <w:rsid w:val="00392A7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semiHidden/>
    <w:unhideWhenUsed/>
    <w:rsid w:val="00392A79"/>
    <w:rPr>
      <w:color w:val="0000FF"/>
      <w:u w:val="single"/>
    </w:rPr>
  </w:style>
  <w:style w:type="character" w:styleId="FollowedHyperlink">
    <w:name w:val="FollowedHyperlink"/>
    <w:basedOn w:val="DefaultParagraphFont"/>
    <w:uiPriority w:val="99"/>
    <w:semiHidden/>
    <w:unhideWhenUsed/>
    <w:rsid w:val="00392A79"/>
    <w:rPr>
      <w:color w:val="800080"/>
      <w:u w:val="single"/>
    </w:rPr>
  </w:style>
  <w:style w:type="paragraph" w:customStyle="1" w:styleId="hidden">
    <w:name w:val="hidden"/>
    <w:basedOn w:val="Normal"/>
    <w:rsid w:val="00392A7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392A79"/>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392A79"/>
    <w:rPr>
      <w:b/>
      <w:bCs/>
    </w:rPr>
  </w:style>
  <w:style w:type="character" w:customStyle="1" w:styleId="number">
    <w:name w:val="number"/>
    <w:basedOn w:val="DefaultParagraphFont"/>
    <w:rsid w:val="00392A79"/>
  </w:style>
  <w:style w:type="character" w:customStyle="1" w:styleId="newwindow">
    <w:name w:val="newwindow"/>
    <w:basedOn w:val="DefaultParagraphFont"/>
    <w:rsid w:val="00392A79"/>
  </w:style>
  <w:style w:type="character" w:styleId="Emphasis">
    <w:name w:val="Emphasis"/>
    <w:basedOn w:val="DefaultParagraphFont"/>
    <w:uiPriority w:val="20"/>
    <w:qFormat/>
    <w:rsid w:val="00392A79"/>
    <w:rPr>
      <w:i/>
      <w:iCs/>
    </w:rPr>
  </w:style>
  <w:style w:type="character" w:customStyle="1" w:styleId="highlighttext">
    <w:name w:val="highlighttext"/>
    <w:basedOn w:val="DefaultParagraphFont"/>
    <w:rsid w:val="00392A79"/>
  </w:style>
  <w:style w:type="character" w:customStyle="1" w:styleId="highlightbackground">
    <w:name w:val="highlightbackground"/>
    <w:basedOn w:val="DefaultParagraphFont"/>
    <w:rsid w:val="00392A79"/>
  </w:style>
  <w:style w:type="paragraph" w:styleId="BalloonText">
    <w:name w:val="Balloon Text"/>
    <w:basedOn w:val="Normal"/>
    <w:link w:val="BalloonTextChar"/>
    <w:uiPriority w:val="99"/>
    <w:semiHidden/>
    <w:unhideWhenUsed/>
    <w:rsid w:val="00392A79"/>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392A79"/>
    <w:rPr>
      <w:rFonts w:ascii="Segoe UI" w:eastAsiaTheme="minorEastAsia" w:hAnsi="Segoe UI" w:cs="Segoe UI"/>
      <w:sz w:val="18"/>
      <w:szCs w:val="18"/>
      <w:lang w:eastAsia="en-AU"/>
    </w:rPr>
  </w:style>
  <w:style w:type="paragraph" w:styleId="ListParagraph">
    <w:name w:val="List Paragraph"/>
    <w:basedOn w:val="Normal"/>
    <w:uiPriority w:val="34"/>
    <w:qFormat/>
    <w:rsid w:val="0009358B"/>
    <w:pPr>
      <w:ind w:left="720"/>
      <w:contextualSpacing/>
    </w:pPr>
  </w:style>
  <w:style w:type="paragraph" w:styleId="Header">
    <w:name w:val="header"/>
    <w:basedOn w:val="Normal"/>
    <w:link w:val="HeaderChar"/>
    <w:uiPriority w:val="99"/>
    <w:unhideWhenUsed/>
    <w:rsid w:val="00BD7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990"/>
  </w:style>
  <w:style w:type="paragraph" w:styleId="Footer">
    <w:name w:val="footer"/>
    <w:basedOn w:val="Normal"/>
    <w:link w:val="FooterChar"/>
    <w:uiPriority w:val="99"/>
    <w:unhideWhenUsed/>
    <w:rsid w:val="00BD7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46</Pages>
  <Words>11268</Words>
  <Characters>64230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2019-12-11T01:17:00Z</dcterms:created>
  <dcterms:modified xsi:type="dcterms:W3CDTF">2021-10-18T05:59:00Z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A19465795</vt:lpwstr>
  </property>
  <property fmtid="{D5CDD505-2E9C-101B-9397-08002B2CF9AE}" pid="4" name="Objective-Title">
    <vt:lpwstr>7.2.3.2.9 Specialised centre sub-precinct - Assessable - UPDATED</vt:lpwstr>
  </property>
  <property fmtid="{D5CDD505-2E9C-101B-9397-08002B2CF9AE}" pid="5" name="Objective-Comment">
    <vt:lpwstr/>
  </property>
  <property fmtid="{D5CDD505-2E9C-101B-9397-08002B2CF9AE}" pid="6" name="Objective-CreationStamp">
    <vt:filetime>2019-12-12T03:00:42Z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2020-01-23T01:10:36Z</vt:filetime>
  </property>
  <property fmtid="{D5CDD505-2E9C-101B-9397-08002B2CF9AE}" pid="11" name="Objective-Owner">
    <vt:lpwstr>Matt Dawson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