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98"/>
      </w:tblGrid>
      <w:tr w:rsidR="0052102A" w:rsidRPr="004E275C" w:rsidTr="005210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2102A" w:rsidRPr="004E275C" w:rsidRDefault="0052102A" w:rsidP="004E275C">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Table 6.2.12.4.1 Requirements for accepted development - Township industry precinct</w:t>
            </w: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23" w:type="pct"/>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132"/>
        <w:gridCol w:w="8542"/>
        <w:gridCol w:w="2442"/>
        <w:gridCol w:w="3029"/>
      </w:tblGrid>
      <w:tr w:rsidR="0052102A" w:rsidRPr="004E275C" w:rsidTr="004E275C">
        <w:trPr>
          <w:trHeight w:val="1152"/>
          <w:tblCellSpacing w:w="15" w:type="dxa"/>
        </w:trPr>
        <w:tc>
          <w:tcPr>
            <w:tcW w:w="3188" w:type="pct"/>
            <w:gridSpan w:val="2"/>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Requirements for accepted development</w:t>
            </w:r>
          </w:p>
        </w:tc>
        <w:tc>
          <w:tcPr>
            <w:tcW w:w="801" w:type="pct"/>
            <w:shd w:val="clear" w:color="auto" w:fill="CCCCCC"/>
          </w:tcPr>
          <w:p w:rsidR="0052102A" w:rsidRPr="004E275C" w:rsidRDefault="0052102A" w:rsidP="004E275C">
            <w:pPr>
              <w:spacing w:before="100" w:beforeAutospacing="1" w:after="100" w:afterAutospacing="1" w:line="240" w:lineRule="auto"/>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E Compliance</w:t>
            </w:r>
          </w:p>
          <w:p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Yes</w:t>
            </w:r>
          </w:p>
          <w:p w:rsidR="0052102A" w:rsidRPr="004E275C" w:rsidRDefault="0052102A" w:rsidP="004E275C">
            <w:pPr>
              <w:pStyle w:val="ListParagraph"/>
              <w:numPr>
                <w:ilvl w:val="0"/>
                <w:numId w:val="25"/>
              </w:numPr>
              <w:spacing w:before="100" w:beforeAutospacing="1" w:after="100" w:afterAutospacing="1" w:line="240" w:lineRule="auto"/>
              <w:ind w:left="373" w:hanging="284"/>
              <w:rPr>
                <w:rFonts w:eastAsia="Times New Roman" w:cs="Arial"/>
                <w:b/>
                <w:bCs/>
                <w:sz w:val="20"/>
                <w:szCs w:val="20"/>
                <w:lang w:eastAsia="en-AU"/>
              </w:rPr>
            </w:pPr>
            <w:r w:rsidRPr="004E275C">
              <w:rPr>
                <w:rFonts w:eastAsia="Times New Roman" w:cs="Arial"/>
                <w:b/>
                <w:bCs/>
                <w:sz w:val="20"/>
                <w:szCs w:val="20"/>
                <w:lang w:eastAsia="en-AU"/>
              </w:rPr>
              <w:t>No</w:t>
            </w: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Council confirmation</w:t>
            </w:r>
          </w:p>
        </w:tc>
      </w:tr>
      <w:tr w:rsidR="0052102A" w:rsidRPr="004E275C" w:rsidTr="00735FB2">
        <w:trPr>
          <w:tblCellSpacing w:w="15" w:type="dxa"/>
        </w:trPr>
        <w:tc>
          <w:tcPr>
            <w:tcW w:w="4980" w:type="pct"/>
            <w:gridSpan w:val="4"/>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General requirements</w:t>
            </w:r>
          </w:p>
        </w:tc>
      </w:tr>
      <w:tr w:rsidR="0052102A" w:rsidRPr="004E275C" w:rsidTr="00735FB2">
        <w:trPr>
          <w:tblCellSpacing w:w="15" w:type="dxa"/>
        </w:trPr>
        <w:tc>
          <w:tcPr>
            <w:tcW w:w="3188" w:type="pct"/>
            <w:gridSpan w:val="2"/>
            <w:shd w:val="clear" w:color="auto" w:fill="CCCCCC"/>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Extensions to existing buildings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rHeight w:val="990"/>
          <w:tblCellSpacing w:w="15" w:type="dxa"/>
        </w:trPr>
        <w:tc>
          <w:tcPr>
            <w:tcW w:w="361" w:type="pct"/>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p>
        </w:tc>
        <w:tc>
          <w:tcPr>
            <w:tcW w:w="2817" w:type="pct"/>
            <w:tcMar>
              <w:top w:w="30" w:type="dxa"/>
              <w:left w:w="30" w:type="dxa"/>
              <w:bottom w:w="30" w:type="dxa"/>
              <w:right w:w="30" w:type="dxa"/>
            </w:tcMa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Extensions to an existing building do not exceed 20% of the existing GFA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22"/>
            </w:tblGrid>
            <w:tr w:rsidR="0052102A" w:rsidRPr="004E275C" w:rsidTr="0052102A">
              <w:trPr>
                <w:tblCellSpacing w:w="15" w:type="dxa"/>
              </w:trPr>
              <w:tc>
                <w:tcPr>
                  <w:tcW w:w="1370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The 20% increase in GFA includes all previous instances of GFA increase under this outcome, or as part of Building Work.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EE7B9C">
        <w:trPr>
          <w:trHeight w:val="536"/>
          <w:tblCellSpacing w:w="15" w:type="dxa"/>
        </w:trPr>
        <w:tc>
          <w:tcPr>
            <w:tcW w:w="361" w:type="pct"/>
            <w:tcMar>
              <w:top w:w="30" w:type="dxa"/>
              <w:left w:w="30" w:type="dxa"/>
              <w:bottom w:w="30" w:type="dxa"/>
              <w:right w:w="30" w:type="dxa"/>
            </w:tcMar>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w:t>
            </w:r>
          </w:p>
        </w:tc>
        <w:tc>
          <w:tcPr>
            <w:tcW w:w="2817" w:type="pct"/>
            <w:tcMar>
              <w:top w:w="30" w:type="dxa"/>
              <w:left w:w="30" w:type="dxa"/>
              <w:bottom w:w="30" w:type="dxa"/>
              <w:right w:w="30" w:type="dxa"/>
            </w:tcMar>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involving an extension (building work) development retains elements which have cultural heritage, character or streetscape significance.</w:t>
            </w:r>
          </w:p>
        </w:tc>
        <w:tc>
          <w:tcPr>
            <w:tcW w:w="801" w:type="pct"/>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Building height</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3</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exceed the maximum height identified on Overlay map - Building heights.</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Setbacks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4</w:t>
            </w:r>
          </w:p>
        </w:tc>
        <w:tc>
          <w:tcPr>
            <w:tcW w:w="2817" w:type="pct"/>
            <w:hideMark/>
          </w:tcPr>
          <w:p w:rsidR="00EE7B9C" w:rsidRPr="00EE7B9C" w:rsidRDefault="00EE7B9C" w:rsidP="00EE7B9C">
            <w:pPr>
              <w:spacing w:before="100" w:beforeAutospacing="1" w:after="100" w:afterAutospacing="1" w:line="240" w:lineRule="auto"/>
              <w:ind w:left="153" w:right="150"/>
              <w:rPr>
                <w:rFonts w:ascii="Arial" w:eastAsia="Times New Roman" w:hAnsi="Arial" w:cs="Arial"/>
                <w:sz w:val="20"/>
                <w:szCs w:val="20"/>
                <w:lang w:eastAsia="en-AU"/>
              </w:rPr>
            </w:pPr>
            <w:r w:rsidRPr="00EE7B9C">
              <w:rPr>
                <w:rFonts w:ascii="Arial" w:eastAsia="Times New Roman" w:hAnsi="Arial" w:cs="Arial"/>
                <w:sz w:val="20"/>
                <w:szCs w:val="20"/>
                <w:lang w:eastAsia="en-AU"/>
              </w:rPr>
              <w:t>Extensions to buildings maintain a minimum setback of:</w:t>
            </w:r>
          </w:p>
          <w:p w:rsidR="00EE7B9C" w:rsidRPr="00EE7B9C" w:rsidRDefault="00EE7B9C" w:rsidP="00EE7B9C">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3m to the street frontage/s;</w:t>
            </w:r>
          </w:p>
          <w:p w:rsidR="0052102A" w:rsidRPr="00EE7B9C" w:rsidRDefault="00EE7B9C" w:rsidP="00EE7B9C">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5m to land not included in the Industry zone.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Landscaping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372"/>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5</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a net reduction in established landscaping on the site.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Lighting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6</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w:t>
            </w:r>
            <w:r w:rsidRPr="004E275C">
              <w:rPr>
                <w:rFonts w:ascii="Arial" w:eastAsia="Times New Roman" w:hAnsi="Arial" w:cs="Arial"/>
                <w:sz w:val="20"/>
                <w:szCs w:val="20"/>
                <w:lang w:eastAsia="en-AU"/>
              </w:rPr>
              <w:lastRenderedPageBreak/>
              <w:t xml:space="preserve">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2"/>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"Curfewed hours" are taken to be those between 10pm and 7am the following day.</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Car parking</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380"/>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7</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On-site car parking is provided at a rate identified in Schedule 7 - Car parking.</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Waste</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632"/>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8</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Bins and bin storage area/s are provided, designed and managed in accordance with Planning scheme policy – Waste.</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Hazardous Chemicals</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1071"/>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9</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789"/>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EE7B9C">
              <w:rPr>
                <w:rFonts w:ascii="Arial" w:eastAsia="Times New Roman" w:hAnsi="Arial" w:cs="Arial"/>
                <w:b/>
                <w:bCs/>
                <w:sz w:val="20"/>
                <w:szCs w:val="20"/>
                <w:lang w:eastAsia="en-AU"/>
              </w:rPr>
              <w:t>10</w:t>
            </w:r>
          </w:p>
        </w:tc>
        <w:tc>
          <w:tcPr>
            <w:tcW w:w="2817"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735FB2">
        <w:trPr>
          <w:tblCellSpacing w:w="15" w:type="dxa"/>
        </w:trPr>
        <w:tc>
          <w:tcPr>
            <w:tcW w:w="3188" w:type="pct"/>
            <w:gridSpan w:val="2"/>
            <w:shd w:val="clear" w:color="auto" w:fill="CCCCCC"/>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Clearing of habitat trees where not located in the Environmental areas overlay map</w:t>
            </w:r>
          </w:p>
        </w:tc>
        <w:tc>
          <w:tcPr>
            <w:tcW w:w="801"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735FB2">
        <w:trPr>
          <w:tblCellSpacing w:w="15" w:type="dxa"/>
        </w:trPr>
        <w:tc>
          <w:tcPr>
            <w:tcW w:w="361" w:type="pct"/>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1</w:t>
            </w:r>
          </w:p>
        </w:tc>
        <w:tc>
          <w:tcPr>
            <w:tcW w:w="2817" w:type="pct"/>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does not result in the damaging, destroyed or clearing of a habitat tree. This does not apply to:</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a habitat tree located within an approved development footprint;</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Clearing of a habitat tree associated with removal of recognised weed species, maintaining existing open pastures and cropping land, windbreaks, lawns or created gardens; </w:t>
            </w:r>
          </w:p>
          <w:p w:rsidR="0052102A" w:rsidRPr="004E275C" w:rsidRDefault="0052102A" w:rsidP="004E275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82"/>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801"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086"/>
        <w:gridCol w:w="85"/>
        <w:gridCol w:w="8332"/>
        <w:gridCol w:w="173"/>
        <w:gridCol w:w="2211"/>
        <w:gridCol w:w="218"/>
        <w:gridCol w:w="3071"/>
      </w:tblGrid>
      <w:tr w:rsidR="004E275C" w:rsidRPr="004E275C" w:rsidTr="004E275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Works requirements</w:t>
            </w: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Utilities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rHeight w:val="559"/>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2</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Access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The frontage road is fully constructed to Council’s standards.</w:t>
            </w:r>
          </w:p>
          <w:p w:rsidR="00EE7B9C" w:rsidRPr="004E77C3" w:rsidRDefault="00EE7B9C" w:rsidP="00EE7B9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 xml:space="preserve">Note - Roads </w:t>
            </w:r>
            <w:proofErr w:type="gramStart"/>
            <w:r w:rsidRPr="004E77C3">
              <w:rPr>
                <w:rFonts w:ascii="Arial" w:eastAsia="Times New Roman" w:hAnsi="Arial" w:cs="Arial"/>
                <w:sz w:val="18"/>
                <w:szCs w:val="20"/>
                <w:lang w:eastAsia="en-AU"/>
              </w:rPr>
              <w:t>are considered to be</w:t>
            </w:r>
            <w:proofErr w:type="gramEnd"/>
            <w:r w:rsidRPr="004E77C3">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EE7B9C" w:rsidRPr="004E275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Frontage roads include streets where no direct lot access is provided.</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4</w:t>
            </w:r>
          </w:p>
        </w:tc>
        <w:tc>
          <w:tcPr>
            <w:tcW w:w="2776" w:type="pct"/>
            <w:gridSpan w:val="2"/>
            <w:tcBorders>
              <w:top w:val="outset" w:sz="6" w:space="0" w:color="auto"/>
              <w:left w:val="outset" w:sz="6" w:space="0" w:color="auto"/>
              <w:bottom w:val="outset" w:sz="6" w:space="0" w:color="auto"/>
              <w:right w:val="outset" w:sz="6" w:space="0" w:color="auto"/>
            </w:tcBorders>
            <w:hideMark/>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Any new or changes to existing crossovers and driveways are designed, located and constructed in accordance with:</w:t>
            </w:r>
          </w:p>
          <w:p w:rsidR="00EE7B9C"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Council-controlled road and associated with a Dwelling house:</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Planning scheme policy - Integrated design;</w:t>
            </w:r>
          </w:p>
          <w:p w:rsidR="00EE7B9C"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Council-controlled road and not associated with a Dwelling house:</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AS/NZS2890.1 Parking facilities Part 1: Off street car parking;</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AS/NZS 2890.2 - Parking facilities Part 2: Off-street commercial vehicle facilities;</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lastRenderedPageBreak/>
              <w:t>Planning scheme policy - Integrated design;</w:t>
            </w:r>
          </w:p>
          <w:p w:rsidR="00EE7B9C" w:rsidRPr="00EE7B9C" w:rsidRDefault="00EE7B9C" w:rsidP="00EE7B9C">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Schedule 8 - Service vehicle requirements; </w:t>
            </w:r>
          </w:p>
          <w:p w:rsidR="0052102A" w:rsidRPr="00EE7B9C" w:rsidRDefault="00EE7B9C" w:rsidP="00EE7B9C">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EE7B9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721"/>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776" w:type="pct"/>
            <w:gridSpan w:val="2"/>
            <w:tcBorders>
              <w:top w:val="outset" w:sz="6" w:space="0" w:color="auto"/>
              <w:left w:val="outset" w:sz="6" w:space="0" w:color="auto"/>
              <w:bottom w:val="outset" w:sz="6" w:space="0" w:color="auto"/>
              <w:right w:val="outset" w:sz="6" w:space="0" w:color="auto"/>
            </w:tcBorders>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776" w:type="pct"/>
            <w:gridSpan w:val="2"/>
            <w:tcBorders>
              <w:top w:val="outset" w:sz="6" w:space="0" w:color="auto"/>
              <w:left w:val="outset" w:sz="6" w:space="0" w:color="auto"/>
              <w:bottom w:val="outset" w:sz="6" w:space="0" w:color="auto"/>
              <w:right w:val="outset" w:sz="6" w:space="0" w:color="auto"/>
            </w:tcBorders>
          </w:tcPr>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EE7B9C">
              <w:rPr>
                <w:rFonts w:ascii="Arial" w:eastAsia="Times New Roman" w:hAnsi="Arial" w:cs="Arial"/>
                <w:sz w:val="20"/>
                <w:szCs w:val="20"/>
                <w:lang w:eastAsia="en-AU"/>
              </w:rPr>
              <w:t>Access driveways, manoeuvring areas and loading facilities are constructed with reinforced concrete road pavements.  Concrete is to be designed in accordance with rigid road pavement design principles.</w:t>
            </w:r>
          </w:p>
          <w:p w:rsidR="00EE7B9C" w:rsidRPr="00EE7B9C" w:rsidRDefault="00EE7B9C" w:rsidP="00EE7B9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Pavements are to be designed by a RPEQ.</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Stormwater</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8</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or changes to existing stormwater run-off from the site </w:t>
            </w:r>
            <w:proofErr w:type="gramStart"/>
            <w:r w:rsidRPr="004E275C">
              <w:rPr>
                <w:rFonts w:ascii="Arial" w:eastAsia="Times New Roman" w:hAnsi="Arial" w:cs="Arial"/>
                <w:sz w:val="20"/>
                <w:szCs w:val="20"/>
                <w:lang w:eastAsia="en-AU"/>
              </w:rPr>
              <w:t>is</w:t>
            </w:r>
            <w:proofErr w:type="gramEnd"/>
            <w:r w:rsidRPr="004E275C">
              <w:rPr>
                <w:rFonts w:ascii="Arial" w:eastAsia="Times New Roman" w:hAnsi="Arial" w:cs="Arial"/>
                <w:sz w:val="20"/>
                <w:szCs w:val="20"/>
                <w:lang w:eastAsia="en-AU"/>
              </w:rPr>
              <w:t xml:space="preserve"> conveyed to a point of lawful discharge without causing </w:t>
            </w:r>
            <w:r w:rsidR="00EE7B9C">
              <w:rPr>
                <w:rFonts w:ascii="Arial" w:eastAsia="Times New Roman" w:hAnsi="Arial" w:cs="Arial"/>
                <w:sz w:val="20"/>
                <w:szCs w:val="20"/>
                <w:lang w:eastAsia="en-AU"/>
              </w:rPr>
              <w:t xml:space="preserve">actionable </w:t>
            </w:r>
            <w:r w:rsidRPr="004E275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RAD1</w:t>
            </w:r>
            <w:r w:rsidR="00EE7B9C">
              <w:rPr>
                <w:rFonts w:ascii="Arial" w:eastAsia="Times New Roman" w:hAnsi="Arial" w:cs="Arial"/>
                <w:b/>
                <w:bCs/>
                <w:sz w:val="20"/>
                <w:szCs w:val="20"/>
                <w:lang w:eastAsia="en-AU"/>
              </w:rPr>
              <w:t>9</w:t>
            </w:r>
          </w:p>
        </w:tc>
        <w:tc>
          <w:tcPr>
            <w:tcW w:w="2776" w:type="pct"/>
            <w:gridSpan w:val="2"/>
            <w:tcBorders>
              <w:top w:val="outset" w:sz="6" w:space="0" w:color="auto"/>
              <w:left w:val="outset" w:sz="6" w:space="0" w:color="auto"/>
              <w:bottom w:val="outset" w:sz="6" w:space="0" w:color="auto"/>
              <w:right w:val="outset" w:sz="6" w:space="0" w:color="auto"/>
            </w:tcBorders>
            <w:hideMark/>
          </w:tcPr>
          <w:p w:rsidR="00EE7B9C" w:rsidRPr="00EE7B9C" w:rsidRDefault="0052102A" w:rsidP="00EE7B9C">
            <w:pPr>
              <w:spacing w:before="100" w:beforeAutospacing="1" w:after="100" w:afterAutospacing="1" w:line="240" w:lineRule="auto"/>
              <w:ind w:left="153" w:right="153"/>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r w:rsidR="00EE7B9C" w:rsidRPr="00EE7B9C">
              <w:rPr>
                <w:rFonts w:ascii="Arial" w:eastAsia="Times New Roman" w:hAnsi="Arial" w:cs="Arial"/>
                <w:sz w:val="20"/>
                <w:szCs w:val="20"/>
                <w:lang w:eastAsia="en-AU"/>
              </w:rPr>
              <w:t>Development incorporates a 'deemed to comply solution' to manage stormwater quality where the development:</w:t>
            </w:r>
          </w:p>
          <w:p w:rsidR="00EE7B9C" w:rsidRPr="00EE7B9C" w:rsidRDefault="00EE7B9C" w:rsidP="00EE7B9C">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is for an urban purpose that involves a land area of 2500m</w:t>
            </w:r>
            <w:r w:rsidRPr="00EE7B9C">
              <w:rPr>
                <w:rFonts w:ascii="Arial" w:eastAsia="Times New Roman" w:hAnsi="Arial" w:cs="Arial"/>
                <w:sz w:val="20"/>
                <w:szCs w:val="20"/>
                <w:vertAlign w:val="superscript"/>
                <w:lang w:eastAsia="en-AU"/>
              </w:rPr>
              <w:t>2</w:t>
            </w:r>
            <w:r w:rsidRPr="00EE7B9C">
              <w:rPr>
                <w:rFonts w:ascii="Arial" w:eastAsia="Times New Roman" w:hAnsi="Arial" w:cs="Arial"/>
                <w:sz w:val="20"/>
                <w:szCs w:val="20"/>
                <w:lang w:eastAsia="en-AU"/>
              </w:rPr>
              <w:t> or greater; and</w:t>
            </w:r>
          </w:p>
          <w:p w:rsidR="00EE7B9C" w:rsidRPr="00EE7B9C" w:rsidRDefault="00EE7B9C" w:rsidP="00EE7B9C">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will result in:</w:t>
            </w:r>
          </w:p>
          <w:p w:rsidR="00EE7B9C" w:rsidRPr="00EE7B9C" w:rsidRDefault="00EE7B9C" w:rsidP="00EE7B9C">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6 or more dwellings; or</w:t>
            </w:r>
          </w:p>
          <w:p w:rsidR="00EE7B9C" w:rsidRPr="00EE7B9C" w:rsidRDefault="00EE7B9C" w:rsidP="00EE7B9C">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EE7B9C">
              <w:rPr>
                <w:rFonts w:ascii="Arial" w:eastAsia="Times New Roman" w:hAnsi="Arial" w:cs="Arial"/>
                <w:sz w:val="20"/>
                <w:szCs w:val="20"/>
                <w:lang w:eastAsia="en-AU"/>
              </w:rPr>
              <w:t>an impervious area greater than 25% of the net developable area.</w:t>
            </w:r>
          </w:p>
          <w:p w:rsidR="0052102A"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1523"/>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RAD20</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ensures that surface flows entering the premises from adjacent properties are not blocked, diverted or concentrated.</w:t>
            </w:r>
          </w:p>
          <w:p w:rsidR="00EE7B9C"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4E77C3">
              <w:rPr>
                <w:rFonts w:ascii="Arial" w:eastAsia="Times New Roman" w:hAnsi="Arial" w:cs="Arial"/>
                <w:sz w:val="18"/>
                <w:szCs w:val="20"/>
                <w:lang w:eastAsia="en-AU"/>
              </w:rPr>
              <w:t>upstream, downstream or surrounding premises</w:t>
            </w:r>
            <w:proofErr w:type="gramEnd"/>
            <w:r w:rsidRPr="004E77C3">
              <w:rPr>
                <w:rFonts w:ascii="Arial" w:eastAsia="Times New Roman" w:hAnsi="Arial" w:cs="Arial"/>
                <w:sz w:val="18"/>
                <w:szCs w:val="20"/>
                <w:lang w:eastAsia="en-AU"/>
              </w:rPr>
              <w:t>.</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rHeight w:val="1488"/>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EE7B9C">
              <w:rPr>
                <w:rFonts w:ascii="Arial" w:eastAsia="Times New Roman" w:hAnsi="Arial" w:cs="Arial"/>
                <w:sz w:val="20"/>
                <w:szCs w:val="20"/>
                <w:lang w:eastAsia="en-AU"/>
              </w:rPr>
              <w:t>Development ensures that works (e.g. fences and walls) do not block, divert or concentrate the flow of stormwater to adjoining properties.</w:t>
            </w:r>
          </w:p>
          <w:p w:rsidR="00EE7B9C" w:rsidRPr="004E275C" w:rsidRDefault="00EE7B9C"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4E77C3">
              <w:rPr>
                <w:rFonts w:ascii="Arial" w:eastAsia="Times New Roman" w:hAnsi="Arial" w:cs="Arial"/>
                <w:sz w:val="18"/>
                <w:szCs w:val="20"/>
                <w:lang w:eastAsia="en-AU"/>
              </w:rPr>
              <w:t>upstream, downstream or surrounding premises</w:t>
            </w:r>
            <w:proofErr w:type="gramEnd"/>
            <w:r w:rsidRPr="004E77C3">
              <w:rPr>
                <w:rFonts w:ascii="Arial" w:eastAsia="Times New Roman" w:hAnsi="Arial" w:cs="Arial"/>
                <w:sz w:val="18"/>
                <w:szCs w:val="20"/>
                <w:lang w:eastAsia="en-AU"/>
              </w:rPr>
              <w:t>.</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EE7B9C"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EE7B9C"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776" w:type="pct"/>
            <w:gridSpan w:val="2"/>
            <w:tcBorders>
              <w:top w:val="outset" w:sz="6" w:space="0" w:color="auto"/>
              <w:left w:val="outset" w:sz="6" w:space="0" w:color="auto"/>
              <w:bottom w:val="outset" w:sz="6" w:space="0" w:color="auto"/>
              <w:right w:val="outset" w:sz="6" w:space="0" w:color="auto"/>
            </w:tcBorders>
          </w:tcPr>
          <w:p w:rsidR="00EE7B9C" w:rsidRDefault="004A7BB7" w:rsidP="00EE7B9C">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799"/>
              <w:gridCol w:w="4372"/>
            </w:tblGrid>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4A7BB7" w:rsidRPr="004A7BB7" w:rsidRDefault="004A7BB7" w:rsidP="004A7BB7">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Pipe Diameter</w:t>
                  </w:r>
                </w:p>
              </w:tc>
              <w:tc>
                <w:tcPr>
                  <w:tcW w:w="264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4A7BB7" w:rsidRPr="004A7BB7" w:rsidRDefault="004A7BB7" w:rsidP="004A7BB7">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Minimum Easement Width (excluding access requirements)</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up to 825mm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up to 825mm diameter with Sewer pipe up to 225m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4A7BB7" w:rsidRPr="00ED54D8" w:rsidTr="004A7BB7">
              <w:trPr>
                <w:tblCellSpacing w:w="15" w:type="dxa"/>
              </w:trPr>
              <w:tc>
                <w:tcPr>
                  <w:tcW w:w="229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Stormwater pipe greater than 825mm diameter</w:t>
                  </w:r>
                </w:p>
              </w:tc>
              <w:tc>
                <w:tcPr>
                  <w:tcW w:w="2648" w:type="pct"/>
                  <w:tcBorders>
                    <w:top w:val="outset" w:sz="6" w:space="0" w:color="auto"/>
                    <w:left w:val="outset" w:sz="6" w:space="0" w:color="auto"/>
                    <w:bottom w:val="outset" w:sz="6" w:space="0" w:color="auto"/>
                    <w:right w:val="outset" w:sz="6" w:space="0" w:color="auto"/>
                  </w:tcBorders>
                  <w:vAlign w:val="center"/>
                </w:tcPr>
                <w:p w:rsidR="004A7BB7" w:rsidRPr="00ED54D8"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Easement boundary to be 1m clear of the outside wall of the pipe and clear of all pits.</w:t>
                  </w:r>
                </w:p>
              </w:tc>
            </w:tr>
          </w:tbl>
          <w:p w:rsidR="004A7BB7" w:rsidRPr="004E77C3" w:rsidRDefault="004A7BB7" w:rsidP="00EE7B9C">
            <w:pPr>
              <w:spacing w:before="100" w:beforeAutospacing="1" w:after="100" w:afterAutospacing="1" w:line="240" w:lineRule="auto"/>
              <w:ind w:left="153" w:right="153"/>
              <w:rPr>
                <w:rFonts w:ascii="Arial" w:eastAsia="Times New Roman" w:hAnsi="Arial" w:cs="Arial"/>
                <w:sz w:val="18"/>
                <w:szCs w:val="20"/>
                <w:lang w:eastAsia="en-AU"/>
              </w:rPr>
            </w:pPr>
            <w:r w:rsidRPr="004E77C3">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4A7BB7" w:rsidRPr="004E275C" w:rsidRDefault="004A7BB7" w:rsidP="00EE7B9C">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Refer to Planning scheme policy - Integrated design (Appendix C) for easement requirements over open channels.</w:t>
            </w:r>
          </w:p>
        </w:tc>
        <w:tc>
          <w:tcPr>
            <w:tcW w:w="775"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EE7B9C" w:rsidRPr="004E275C" w:rsidRDefault="00EE7B9C"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Site works and construction management</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23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site and any existing structures are to be maintained in a tidy and safe condition.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sidRPr="004A7BB7">
              <w:rPr>
                <w:rFonts w:ascii="Arial" w:eastAsia="Times New Roman" w:hAnsi="Arial" w:cs="Arial"/>
                <w:b/>
                <w:sz w:val="20"/>
                <w:szCs w:val="20"/>
                <w:lang w:eastAsia="en-AU"/>
              </w:rPr>
              <w:t>RAD24</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Development does not cause erosion or allow sediment to leave the site.</w:t>
            </w:r>
          </w:p>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lastRenderedPageBreak/>
              <w:t>Note - The International Erosion Control Association (Australasia) Best Practice Erosion and Sediment Control provides guidance on strategies and techniques for managing erosion and sedimentation.</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RAD25</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No dust emissions extend beyond the boundaries of the site during soil disturbances and construction works.</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1298"/>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RAD26</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Existing street trees are protected and not damaged during works.</w:t>
            </w:r>
          </w:p>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510"/>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RAD27</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rHeight w:val="787"/>
          <w:tblCellSpacing w:w="15" w:type="dxa"/>
        </w:trPr>
        <w:tc>
          <w:tcPr>
            <w:tcW w:w="347" w:type="pct"/>
            <w:tcBorders>
              <w:top w:val="outset" w:sz="6" w:space="0" w:color="auto"/>
              <w:left w:val="outset" w:sz="6" w:space="0" w:color="auto"/>
              <w:bottom w:val="outset" w:sz="6" w:space="0" w:color="auto"/>
              <w:right w:val="outset" w:sz="6" w:space="0" w:color="auto"/>
            </w:tcBorders>
          </w:tcPr>
          <w:p w:rsidR="0052102A"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RAD28</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657"/>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RAD29</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4A7BB7">
              <w:rPr>
                <w:rFonts w:ascii="Arial" w:eastAsia="Times New Roman" w:hAnsi="Arial" w:cs="Arial"/>
                <w:sz w:val="20"/>
                <w:szCs w:val="20"/>
                <w:lang w:eastAsia="en-AU"/>
              </w:rPr>
              <w:t>are to be cleaned at all times</w:t>
            </w:r>
            <w:proofErr w:type="gramEnd"/>
            <w:r w:rsidRPr="004A7BB7">
              <w:rPr>
                <w:rFonts w:ascii="Arial" w:eastAsia="Times New Roman" w:hAnsi="Arial" w:cs="Arial"/>
                <w:sz w:val="20"/>
                <w:szCs w:val="20"/>
                <w:lang w:eastAsia="en-AU"/>
              </w:rPr>
              <w:t>. </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RAD30</w:t>
            </w:r>
          </w:p>
        </w:tc>
        <w:tc>
          <w:tcPr>
            <w:tcW w:w="2776" w:type="pct"/>
            <w:gridSpan w:val="2"/>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native vegetation to be retained on-site is temporarily fenced or protected prior to and during development works.</w:t>
            </w:r>
          </w:p>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No parking of vehicles or storage of machinery or goods is to occur in these areas during development works</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RAD31</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A7BB7"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Disposal of materials is managed in one or more of the following ways:</w:t>
            </w:r>
          </w:p>
          <w:p w:rsidR="004A7BB7" w:rsidRPr="004A7BB7" w:rsidRDefault="004A7BB7" w:rsidP="004A7B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4A7BB7" w:rsidRPr="004A7BB7" w:rsidRDefault="004A7BB7" w:rsidP="004A7B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native vegetation with a diameter below 400mm is to be chipped and stored on-site.</w:t>
            </w:r>
          </w:p>
          <w:p w:rsidR="004A7BB7" w:rsidRPr="004E77C3" w:rsidRDefault="004A7BB7" w:rsidP="004E275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Note - No burning of cleared vegetation is permitted.</w:t>
            </w:r>
          </w:p>
          <w:p w:rsidR="004A7BB7" w:rsidRPr="004A7BB7"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The chipped vegetation must be stored in an approved location.</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Default="004A7BB7" w:rsidP="004E275C">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RAD32</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A7BB7" w:rsidRDefault="004A7BB7" w:rsidP="004A7BB7">
            <w:pPr>
              <w:spacing w:before="100" w:beforeAutospacing="1" w:after="100" w:afterAutospacing="1" w:line="240" w:lineRule="auto"/>
              <w:ind w:left="150" w:right="150"/>
              <w:rPr>
                <w:rFonts w:ascii="Arial" w:eastAsia="Times New Roman" w:hAnsi="Arial" w:cs="Arial"/>
                <w:sz w:val="20"/>
                <w:szCs w:val="20"/>
                <w:lang w:eastAsia="en-AU"/>
              </w:rPr>
            </w:pPr>
            <w:r w:rsidRPr="004A7BB7">
              <w:rPr>
                <w:rFonts w:ascii="Arial" w:eastAsia="Times New Roman" w:hAnsi="Arial" w:cs="Arial"/>
                <w:sz w:val="20"/>
                <w:szCs w:val="20"/>
                <w:lang w:eastAsia="en-AU"/>
              </w:rPr>
              <w:t>All development works are carried out within the following times:</w:t>
            </w:r>
          </w:p>
          <w:p w:rsidR="004A7BB7" w:rsidRPr="004A7BB7" w:rsidRDefault="004A7BB7" w:rsidP="004A7BB7">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t>Monday to Saturday (other than public holidays) between 6:30am and 6:30pm on the same day;</w:t>
            </w:r>
          </w:p>
          <w:p w:rsidR="004A7BB7" w:rsidRPr="004A7BB7" w:rsidRDefault="004A7BB7" w:rsidP="004A7BB7">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4A7BB7">
              <w:rPr>
                <w:rFonts w:ascii="Arial" w:eastAsia="Times New Roman" w:hAnsi="Arial" w:cs="Arial"/>
                <w:sz w:val="20"/>
                <w:szCs w:val="20"/>
                <w:lang w:eastAsia="en-AU"/>
              </w:rPr>
              <w:lastRenderedPageBreak/>
              <w:t>no work is to be carried out on Sundays or public holidays.</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13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Earthworks</w:t>
            </w:r>
          </w:p>
        </w:tc>
        <w:tc>
          <w:tcPr>
            <w:tcW w:w="775"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3</w:t>
            </w:r>
            <w:r w:rsidRPr="004E275C">
              <w:rPr>
                <w:rFonts w:ascii="Arial" w:eastAsia="Times New Roman" w:hAnsi="Arial" w:cs="Arial"/>
                <w:b/>
                <w:bCs/>
                <w:sz w:val="20"/>
                <w:szCs w:val="20"/>
                <w:lang w:eastAsia="en-AU"/>
              </w:rPr>
              <w:t>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total of all cut and fill on-site does not exceed 900mm in height.</w:t>
            </w:r>
          </w:p>
          <w:p w:rsidR="0052102A" w:rsidRPr="004E275C" w:rsidRDefault="0052102A" w:rsidP="004E77C3">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t>Figure - Cut and fill</w:t>
            </w:r>
          </w:p>
          <w:p w:rsidR="0052102A" w:rsidRPr="004E275C" w:rsidRDefault="0052102A" w:rsidP="004E77C3">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drawing>
                <wp:inline distT="0" distB="0" distL="0" distR="0" wp14:anchorId="52DCB699" wp14:editId="7855FE72">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Note - This is site earthworks not building work.</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4A7BB7">
              <w:rPr>
                <w:rFonts w:ascii="Arial" w:eastAsia="Times New Roman" w:hAnsi="Arial" w:cs="Arial"/>
                <w:b/>
                <w:bCs/>
                <w:sz w:val="20"/>
                <w:szCs w:val="20"/>
                <w:lang w:eastAsia="en-AU"/>
              </w:rPr>
              <w:t>34</w:t>
            </w:r>
          </w:p>
        </w:tc>
        <w:tc>
          <w:tcPr>
            <w:tcW w:w="2776" w:type="pct"/>
            <w:gridSpan w:val="2"/>
            <w:tcBorders>
              <w:top w:val="outset" w:sz="6" w:space="0" w:color="auto"/>
              <w:left w:val="outset" w:sz="6" w:space="0" w:color="auto"/>
              <w:bottom w:val="outset" w:sz="6" w:space="0" w:color="auto"/>
              <w:right w:val="outset" w:sz="6" w:space="0" w:color="auto"/>
            </w:tcBorders>
            <w:hideMark/>
          </w:tcPr>
          <w:p w:rsidR="004A7BB7" w:rsidRPr="004A7BB7"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Cut and fill batters, (other than batters to dams and water impoundments), have a finished slope no steeper than the following:</w:t>
            </w:r>
          </w:p>
          <w:p w:rsidR="004A7BB7"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cut batter is no steeper than 1V in 4H;</w:t>
            </w:r>
          </w:p>
          <w:p w:rsidR="004A7BB7"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fill batter, (other than a compacted fill batter), is no steeper than 1V in 4H;</w:t>
            </w:r>
          </w:p>
          <w:p w:rsidR="0052102A" w:rsidRPr="004A7BB7" w:rsidRDefault="004A7BB7" w:rsidP="004A7BB7">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4A7BB7">
              <w:rPr>
                <w:rFonts w:ascii="Arial" w:eastAsia="Times New Roman" w:hAnsi="Arial" w:cs="Arial"/>
                <w:sz w:val="20"/>
                <w:szCs w:val="20"/>
                <w:lang w:eastAsia="en-AU"/>
              </w:rPr>
              <w:t>any compacted fill batter is no steeper than 1V in 4H.</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741"/>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rHeight w:val="1349"/>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776" w:type="pct"/>
            <w:gridSpan w:val="2"/>
            <w:tcBorders>
              <w:top w:val="outset" w:sz="6" w:space="0" w:color="auto"/>
              <w:left w:val="outset" w:sz="6" w:space="0" w:color="auto"/>
              <w:bottom w:val="outset" w:sz="6" w:space="0" w:color="auto"/>
              <w:right w:val="outset" w:sz="6" w:space="0" w:color="auto"/>
            </w:tcBorders>
          </w:tcPr>
          <w:p w:rsidR="004A7BB7"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A7BB7">
              <w:rPr>
                <w:rFonts w:ascii="Arial" w:eastAsia="Times New Roman" w:hAnsi="Arial" w:cs="Arial"/>
                <w:sz w:val="20"/>
                <w:szCs w:val="20"/>
                <w:lang w:eastAsia="en-AU"/>
              </w:rPr>
              <w:t>Stabilisation measures are provided, as necessary, to ensure long-term stability and low maintenance of steep slopes and batters.</w:t>
            </w:r>
          </w:p>
          <w:p w:rsidR="004A7BB7" w:rsidRPr="004E275C" w:rsidRDefault="004A7BB7" w:rsidP="004A7BB7">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Inspection and certification of steep slopes and batters may be required by a suitably qualified and experienced RPEQ.</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776" w:type="pct"/>
            <w:gridSpan w:val="2"/>
            <w:tcBorders>
              <w:top w:val="outset" w:sz="6" w:space="0" w:color="auto"/>
              <w:left w:val="outset" w:sz="6" w:space="0" w:color="auto"/>
              <w:bottom w:val="outset" w:sz="6" w:space="0" w:color="auto"/>
              <w:right w:val="outset" w:sz="6" w:space="0" w:color="auto"/>
            </w:tcBorders>
          </w:tcPr>
          <w:p w:rsidR="004A7BB7"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All fill and excavation </w:t>
            </w:r>
            <w:proofErr w:type="gramStart"/>
            <w:r w:rsidRPr="009C46FD">
              <w:rPr>
                <w:rFonts w:ascii="Arial" w:eastAsia="Times New Roman" w:hAnsi="Arial" w:cs="Arial"/>
                <w:sz w:val="20"/>
                <w:szCs w:val="20"/>
                <w:lang w:eastAsia="en-AU"/>
              </w:rPr>
              <w:t>is</w:t>
            </w:r>
            <w:proofErr w:type="gramEnd"/>
            <w:r w:rsidRPr="009C46FD">
              <w:rPr>
                <w:rFonts w:ascii="Arial" w:eastAsia="Times New Roman" w:hAnsi="Arial" w:cs="Arial"/>
                <w:sz w:val="20"/>
                <w:szCs w:val="20"/>
                <w:lang w:eastAsia="en-AU"/>
              </w:rPr>
              <w:t xml:space="preserve"> contained on-site and is free draining.</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A7BB7"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4A7BB7"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RAD38</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Earthworks undertaken on the development site are shaped in a manner which does not:</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redirect stormwater surface flow away from existing flow paths; or</w:t>
            </w:r>
          </w:p>
          <w:p w:rsidR="009C46FD" w:rsidRPr="009C46FD" w:rsidRDefault="009C46FD" w:rsidP="009C46FD">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divert stormwater surface flow onto adjacent land (other than a road) in a manner which:</w:t>
            </w:r>
          </w:p>
          <w:p w:rsidR="009C46FD"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concentrates the flow; or </w:t>
            </w:r>
          </w:p>
          <w:p w:rsidR="009C46FD"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4A7BB7" w:rsidRPr="009C46FD" w:rsidRDefault="009C46FD" w:rsidP="009C46FD">
            <w:pPr>
              <w:numPr>
                <w:ilvl w:val="1"/>
                <w:numId w:val="33"/>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causes actionable nuisance to any person, property or premises. </w:t>
            </w:r>
          </w:p>
        </w:tc>
        <w:tc>
          <w:tcPr>
            <w:tcW w:w="775"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4A7BB7" w:rsidRPr="004E275C" w:rsidRDefault="004A7BB7"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All fill placed on-site is:</w:t>
            </w:r>
          </w:p>
          <w:p w:rsidR="009C46FD" w:rsidRPr="009C46FD" w:rsidRDefault="009C46FD" w:rsidP="009C46FD">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limited to that necessary for the approved use;</w:t>
            </w:r>
          </w:p>
          <w:p w:rsidR="009C46FD" w:rsidRPr="009C46FD" w:rsidRDefault="009C46FD" w:rsidP="009C46FD">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776" w:type="pct"/>
            <w:gridSpan w:val="2"/>
            <w:tcBorders>
              <w:top w:val="outset" w:sz="6" w:space="0" w:color="auto"/>
              <w:left w:val="outset" w:sz="6" w:space="0" w:color="auto"/>
              <w:bottom w:val="outset" w:sz="6" w:space="0" w:color="auto"/>
              <w:right w:val="outset" w:sz="6" w:space="0" w:color="auto"/>
            </w:tcBorders>
          </w:tcPr>
          <w:p w:rsid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The site is </w:t>
            </w:r>
            <w:proofErr w:type="gramStart"/>
            <w:r w:rsidRPr="009C46FD">
              <w:rPr>
                <w:rFonts w:ascii="Arial" w:eastAsia="Times New Roman" w:hAnsi="Arial" w:cs="Arial"/>
                <w:sz w:val="20"/>
                <w:szCs w:val="20"/>
                <w:lang w:eastAsia="en-AU"/>
              </w:rPr>
              <w:t>prepared</w:t>
            </w:r>
            <w:proofErr w:type="gramEnd"/>
            <w:r w:rsidRPr="009C46FD">
              <w:rPr>
                <w:rFonts w:ascii="Arial" w:eastAsia="Times New Roman" w:hAnsi="Arial" w:cs="Arial"/>
                <w:sz w:val="20"/>
                <w:szCs w:val="20"/>
                <w:lang w:eastAsia="en-AU"/>
              </w:rPr>
              <w:t xml:space="preserve"> and the fill placed on-site in accordance with Australian Standard AS3798. </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RAD41</w:t>
            </w:r>
          </w:p>
        </w:tc>
        <w:tc>
          <w:tcPr>
            <w:tcW w:w="2776" w:type="pct"/>
            <w:gridSpan w:val="2"/>
            <w:tcBorders>
              <w:top w:val="outset" w:sz="6" w:space="0" w:color="auto"/>
              <w:left w:val="outset" w:sz="6" w:space="0" w:color="auto"/>
              <w:bottom w:val="outset" w:sz="6" w:space="0" w:color="auto"/>
              <w:right w:val="outset" w:sz="6" w:space="0" w:color="auto"/>
            </w:tcBorders>
          </w:tcPr>
          <w:p w:rsid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No filling or excavation is undertaken in an easement issued in favour of Council or a public sector entity.</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Public sector entity is defined in Schedule 2 of the Act.</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9C46FD"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RAD42</w:t>
            </w:r>
          </w:p>
        </w:tc>
        <w:tc>
          <w:tcPr>
            <w:tcW w:w="2776" w:type="pct"/>
            <w:gridSpan w:val="2"/>
            <w:tcBorders>
              <w:top w:val="outset" w:sz="6" w:space="0" w:color="auto"/>
              <w:left w:val="outset" w:sz="6" w:space="0" w:color="auto"/>
              <w:bottom w:val="outset" w:sz="6" w:space="0" w:color="auto"/>
              <w:right w:val="outset" w:sz="6" w:space="0" w:color="auto"/>
            </w:tcBorders>
          </w:tcPr>
          <w:p w:rsidR="009C46FD" w:rsidRPr="009C46FD"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9C46FD">
              <w:rPr>
                <w:rFonts w:ascii="Arial" w:eastAsia="Times New Roman" w:hAnsi="Arial" w:cs="Arial"/>
                <w:sz w:val="20"/>
                <w:szCs w:val="20"/>
                <w:lang w:eastAsia="en-AU"/>
              </w:rPr>
              <w:t>Filling or excavation that would result in any of the following is not carried out on site: </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a reduction in cover over any Council or public sector entity infrastructure to less than 600mm;</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9C46FD" w:rsidRPr="009C46FD" w:rsidRDefault="009C46FD" w:rsidP="009C46FD">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9C46FD">
              <w:rPr>
                <w:rFonts w:ascii="Arial" w:eastAsia="Times New Roman" w:hAnsi="Arial" w:cs="Arial"/>
                <w:sz w:val="20"/>
                <w:szCs w:val="20"/>
                <w:lang w:eastAsia="en-AU"/>
              </w:rPr>
              <w:t xml:space="preserve">prevent reasonable access to Council or public sector </w:t>
            </w:r>
            <w:proofErr w:type="gramStart"/>
            <w:r w:rsidRPr="009C46FD">
              <w:rPr>
                <w:rFonts w:ascii="Arial" w:eastAsia="Times New Roman" w:hAnsi="Arial" w:cs="Arial"/>
                <w:sz w:val="20"/>
                <w:szCs w:val="20"/>
                <w:lang w:eastAsia="en-AU"/>
              </w:rPr>
              <w:t>entity maintained</w:t>
            </w:r>
            <w:proofErr w:type="gramEnd"/>
            <w:r w:rsidRPr="009C46FD">
              <w:rPr>
                <w:rFonts w:ascii="Arial" w:eastAsia="Times New Roman" w:hAnsi="Arial" w:cs="Arial"/>
                <w:sz w:val="20"/>
                <w:szCs w:val="20"/>
                <w:lang w:eastAsia="en-AU"/>
              </w:rPr>
              <w:t xml:space="preserve"> infrastructure or any drainage feature on, or adjacent to the site for monitoring, maintenance or replacement purposes.</w:t>
            </w:r>
          </w:p>
          <w:p w:rsidR="009C46FD" w:rsidRPr="004E77C3" w:rsidRDefault="009C46FD" w:rsidP="009C46FD">
            <w:pPr>
              <w:spacing w:before="100" w:beforeAutospacing="1" w:after="100" w:afterAutospacing="1" w:line="240" w:lineRule="auto"/>
              <w:ind w:left="153" w:right="153"/>
              <w:rPr>
                <w:rFonts w:ascii="Arial" w:eastAsia="Times New Roman" w:hAnsi="Arial" w:cs="Arial"/>
                <w:sz w:val="18"/>
                <w:szCs w:val="20"/>
                <w:lang w:eastAsia="en-AU"/>
              </w:rPr>
            </w:pPr>
            <w:r w:rsidRPr="004E77C3">
              <w:rPr>
                <w:rFonts w:ascii="Arial" w:eastAsia="Times New Roman" w:hAnsi="Arial" w:cs="Arial"/>
                <w:sz w:val="18"/>
                <w:szCs w:val="20"/>
                <w:lang w:eastAsia="en-AU"/>
              </w:rPr>
              <w:lastRenderedPageBreak/>
              <w:t>Note - Public sector entity is defined in Schedule 2 of the Act.</w:t>
            </w:r>
          </w:p>
          <w:p w:rsidR="009C46FD" w:rsidRPr="004E275C" w:rsidRDefault="009C46FD" w:rsidP="009C46FD">
            <w:pPr>
              <w:spacing w:before="100" w:beforeAutospacing="1" w:after="100" w:afterAutospacing="1" w:line="240" w:lineRule="auto"/>
              <w:ind w:left="153" w:right="153"/>
              <w:rPr>
                <w:rFonts w:ascii="Arial" w:eastAsia="Times New Roman" w:hAnsi="Arial" w:cs="Arial"/>
                <w:sz w:val="20"/>
                <w:szCs w:val="20"/>
                <w:lang w:eastAsia="en-AU"/>
              </w:rPr>
            </w:pPr>
            <w:r w:rsidRPr="004E77C3">
              <w:rPr>
                <w:rFonts w:ascii="Arial" w:eastAsia="Times New Roman" w:hAnsi="Arial" w:cs="Arial"/>
                <w:sz w:val="18"/>
                <w:szCs w:val="20"/>
                <w:lang w:eastAsia="en-AU"/>
              </w:rPr>
              <w:t>Note - All building work covered by QDC MP1.4 is excluded from this provision.</w:t>
            </w:r>
          </w:p>
        </w:tc>
        <w:tc>
          <w:tcPr>
            <w:tcW w:w="775"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9C46FD" w:rsidRPr="004E275C" w:rsidRDefault="009C46FD"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provisions under this heading only apply if:</w:t>
                  </w:r>
                </w:p>
                <w:p w:rsidR="004E275C" w:rsidRPr="004E275C" w:rsidRDefault="004E275C" w:rsidP="004E275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is for, or incorporates: </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reconfiguring a lot for a community title scheme creating 1 or more vacant lots; or</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2 or more sole occupancy units on the same lot, or within the same community titles scheme; or</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a Tourist park</w:t>
                  </w:r>
                  <w:r w:rsidRPr="004E275C">
                    <w:rPr>
                      <w:rFonts w:ascii="Arial" w:eastAsia="Times New Roman" w:hAnsi="Arial" w:cs="Arial"/>
                      <w:sz w:val="20"/>
                      <w:szCs w:val="20"/>
                      <w:vertAlign w:val="superscript"/>
                      <w:lang w:eastAsia="en-AU"/>
                    </w:rPr>
                    <w:t>(</w:t>
                  </w:r>
                  <w:hyperlink r:id="rId8"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with accommodation in the form of caravans or tents; or </w:t>
                  </w:r>
                </w:p>
                <w:p w:rsidR="004E275C" w:rsidRPr="004E275C" w:rsidRDefault="004E275C" w:rsidP="004E275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material change of use for outdoor sales</w:t>
                  </w:r>
                  <w:r w:rsidRPr="004E275C">
                    <w:rPr>
                      <w:rFonts w:ascii="Arial" w:eastAsia="Times New Roman" w:hAnsi="Arial" w:cs="Arial"/>
                      <w:sz w:val="20"/>
                      <w:szCs w:val="20"/>
                      <w:vertAlign w:val="superscript"/>
                      <w:lang w:eastAsia="en-AU"/>
                    </w:rPr>
                    <w:t>(</w:t>
                  </w:r>
                  <w:hyperlink r:id="rId9"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or outdoor storage where involving combustible materials.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AND</w:t>
                  </w:r>
                </w:p>
                <w:p w:rsidR="004E275C" w:rsidRPr="004E275C" w:rsidRDefault="004E275C" w:rsidP="004E275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none of the following exceptions apply: </w:t>
                  </w:r>
                </w:p>
                <w:p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distributor-retailer for the area has indicated, in its </w:t>
                  </w:r>
                  <w:proofErr w:type="spellStart"/>
                  <w:r w:rsidRPr="004E275C">
                    <w:rPr>
                      <w:rFonts w:ascii="Arial" w:eastAsia="Times New Roman" w:hAnsi="Arial" w:cs="Arial"/>
                      <w:sz w:val="20"/>
                      <w:szCs w:val="20"/>
                      <w:lang w:eastAsia="en-AU"/>
                    </w:rPr>
                    <w:t>netserv</w:t>
                  </w:r>
                  <w:proofErr w:type="spellEnd"/>
                  <w:r w:rsidRPr="004E275C">
                    <w:rPr>
                      <w:rFonts w:ascii="Arial" w:eastAsia="Times New Roman" w:hAnsi="Arial" w:cs="Arial"/>
                      <w:sz w:val="20"/>
                      <w:szCs w:val="20"/>
                      <w:lang w:eastAsia="en-AU"/>
                    </w:rPr>
                    <w:t xml:space="preserve"> plan, that the premises will not be served by that entity’s reticulated water supply; or </w:t>
                  </w:r>
                </w:p>
                <w:p w:rsidR="004E275C" w:rsidRPr="004E275C" w:rsidRDefault="004E275C" w:rsidP="004E275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43</w:t>
            </w:r>
          </w:p>
        </w:tc>
        <w:tc>
          <w:tcPr>
            <w:tcW w:w="2776" w:type="pct"/>
            <w:gridSpan w:val="2"/>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External fire hydrant facilities are provided on site to the standard prescribed under the relevant parts of </w:t>
            </w:r>
            <w:r w:rsidRPr="004E275C">
              <w:rPr>
                <w:rFonts w:ascii="Arial" w:eastAsia="Times New Roman" w:hAnsi="Arial" w:cs="Arial"/>
                <w:i/>
                <w:iCs/>
                <w:sz w:val="20"/>
                <w:szCs w:val="20"/>
                <w:lang w:eastAsia="en-AU"/>
              </w:rPr>
              <w:t>Australian Standard AS 2419.1 (2005) – Fire Hydrant Installations</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For this requirement for accepted development, the following are the relevant parts of AS 2419.1 (2005):</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 regard to the form of any fire hydrant - Part 8.5 and Part 3.2.2.1, with the exception that for Tourist parks</w:t>
                  </w:r>
                  <w:r w:rsidRPr="004E275C">
                    <w:rPr>
                      <w:rFonts w:ascii="Arial" w:eastAsia="Times New Roman" w:hAnsi="Arial" w:cs="Arial"/>
                      <w:sz w:val="20"/>
                      <w:szCs w:val="20"/>
                      <w:vertAlign w:val="superscript"/>
                      <w:lang w:eastAsia="en-AU"/>
                    </w:rPr>
                    <w:t>(</w:t>
                  </w:r>
                  <w:hyperlink r:id="rId1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275C">
                      <w:rPr>
                        <w:rFonts w:ascii="Arial" w:eastAsia="Times New Roman" w:hAnsi="Arial" w:cs="Arial"/>
                        <w:color w:val="0000FF"/>
                        <w:sz w:val="20"/>
                        <w:szCs w:val="20"/>
                        <w:vertAlign w:val="superscript"/>
                        <w:lang w:eastAsia="en-AU"/>
                      </w:rPr>
                      <w:t>84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in regard to the proximity of hydrants to buildings and other facilities - Part 3.2.2.2 (b), (c) and (d), with the exception that: </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for caravans and tents, hydrant coverage need only extend to the roof of those tents and caravans;</w:t>
                  </w:r>
                </w:p>
                <w:p w:rsidR="0052102A" w:rsidRPr="004E275C" w:rsidRDefault="0052102A" w:rsidP="004E275C">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for outdoor sales</w:t>
                  </w:r>
                  <w:r w:rsidRPr="004E275C">
                    <w:rPr>
                      <w:rFonts w:ascii="Arial" w:eastAsia="Times New Roman" w:hAnsi="Arial" w:cs="Arial"/>
                      <w:sz w:val="20"/>
                      <w:szCs w:val="20"/>
                      <w:vertAlign w:val="superscript"/>
                      <w:lang w:eastAsia="en-AU"/>
                    </w:rPr>
                    <w:t>(</w:t>
                  </w:r>
                  <w:hyperlink r:id="rId1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processing or storage facilities, hydrant coverage is required across the entire area of the outdoor sales</w:t>
                  </w:r>
                  <w:r w:rsidRPr="004E275C">
                    <w:rPr>
                      <w:rFonts w:ascii="Arial" w:eastAsia="Times New Roman" w:hAnsi="Arial" w:cs="Arial"/>
                      <w:sz w:val="20"/>
                      <w:szCs w:val="20"/>
                      <w:vertAlign w:val="superscript"/>
                      <w:lang w:eastAsia="en-AU"/>
                    </w:rPr>
                    <w:t>(</w:t>
                  </w:r>
                  <w:hyperlink r:id="rId1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275C">
                      <w:rPr>
                        <w:rFonts w:ascii="Arial" w:eastAsia="Times New Roman" w:hAnsi="Arial" w:cs="Arial"/>
                        <w:color w:val="0000FF"/>
                        <w:sz w:val="20"/>
                        <w:szCs w:val="20"/>
                        <w:vertAlign w:val="superscript"/>
                        <w:lang w:eastAsia="en-AU"/>
                      </w:rPr>
                      <w:t>54</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outdoor processing and outdoor storage facilities; and </w:t>
                  </w:r>
                </w:p>
                <w:p w:rsidR="0052102A" w:rsidRPr="004E275C" w:rsidRDefault="0052102A" w:rsidP="004E275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in regard to</w:t>
                  </w:r>
                  <w:proofErr w:type="gramEnd"/>
                  <w:r w:rsidRPr="004E275C">
                    <w:rPr>
                      <w:rFonts w:ascii="Arial" w:eastAsia="Times New Roman" w:hAnsi="Arial" w:cs="Arial"/>
                      <w:sz w:val="20"/>
                      <w:szCs w:val="20"/>
                      <w:lang w:eastAsia="en-AU"/>
                    </w:rPr>
                    <w:t xml:space="preserve"> fire hydrant accessibility and clearance requirements - Part 3.5 and where applicable, Part 3.6.</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44</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width of no less than 3.5m;</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unobstructed height of no less than 4.8m;</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constructed to be readily traversed by a 17 tonne HRV fire brigade pumping appliance;</w:t>
            </w:r>
          </w:p>
          <w:p w:rsidR="0052102A" w:rsidRPr="004E275C" w:rsidRDefault="0052102A" w:rsidP="004E275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an area for a fire brigade pumping appliance to stand within 20m of each fire hydrant and 8m of each hydrant booster point.</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45</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On-site fire hydrant facilities are maintained in effective operating order in a manner prescribed in </w:t>
            </w:r>
            <w:r w:rsidRPr="004E275C">
              <w:rPr>
                <w:rFonts w:ascii="Arial" w:eastAsia="Times New Roman" w:hAnsi="Arial" w:cs="Arial"/>
                <w:i/>
                <w:iCs/>
                <w:sz w:val="20"/>
                <w:szCs w:val="20"/>
                <w:lang w:eastAsia="en-AU"/>
              </w:rPr>
              <w:t>Australian Standard AS1851 (2012) – Routine service of fire protection systems and equipment</w:t>
            </w:r>
            <w:r w:rsidRPr="004E275C">
              <w:rPr>
                <w:rFonts w:ascii="Arial" w:eastAsia="Times New Roman" w:hAnsi="Arial" w:cs="Arial"/>
                <w:sz w:val="20"/>
                <w:szCs w:val="20"/>
                <w:lang w:eastAsia="en-AU"/>
              </w:rPr>
              <w:t xml:space="preserve">. </w:t>
            </w: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46</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For development that contains on-site fire hydrants external to buildings:</w:t>
            </w:r>
          </w:p>
          <w:p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those external hydrants can be seen from the vehicular entry point to the site; or</w:t>
            </w:r>
          </w:p>
          <w:p w:rsidR="0052102A" w:rsidRPr="004E275C" w:rsidRDefault="0052102A" w:rsidP="004E275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sign identifying the following is provided at the vehicular entry point to the site: </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overall layout of the development (to scale);</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internal road names (where used);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all communal facilities (where provided);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the reception area and on-site manager’s office (where provided);</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external hydrants and hydrant booster points;</w:t>
            </w:r>
          </w:p>
          <w:p w:rsidR="0052102A" w:rsidRPr="004E275C" w:rsidRDefault="0052102A" w:rsidP="004E275C">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4E77C3">
                    <w:rPr>
                      <w:rFonts w:ascii="Arial" w:eastAsia="Times New Roman" w:hAnsi="Arial" w:cs="Arial"/>
                      <w:sz w:val="18"/>
                      <w:szCs w:val="20"/>
                      <w:lang w:eastAsia="en-AU"/>
                    </w:rPr>
                    <w:t>Note - The sign prescribed above, and the graphics used are to be:</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in a form;</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t>of a size;</w:t>
                  </w:r>
                </w:p>
                <w:p w:rsidR="0052102A" w:rsidRPr="004E77C3" w:rsidRDefault="0052102A" w:rsidP="004E275C">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4E77C3">
                    <w:rPr>
                      <w:rFonts w:ascii="Arial" w:eastAsia="Times New Roman" w:hAnsi="Arial" w:cs="Arial"/>
                      <w:sz w:val="18"/>
                      <w:szCs w:val="20"/>
                      <w:lang w:eastAsia="en-AU"/>
                    </w:rPr>
                    <w:lastRenderedPageBreak/>
                    <w:t>illuminated to a level;</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which allows the information on the sign to be readily understood, </w:t>
                  </w:r>
                  <w:proofErr w:type="gramStart"/>
                  <w:r w:rsidRPr="004E275C">
                    <w:rPr>
                      <w:rFonts w:ascii="Arial" w:eastAsia="Times New Roman" w:hAnsi="Arial" w:cs="Arial"/>
                      <w:sz w:val="20"/>
                      <w:szCs w:val="20"/>
                      <w:lang w:eastAsia="en-AU"/>
                    </w:rPr>
                    <w:t>at all times</w:t>
                  </w:r>
                  <w:proofErr w:type="gramEnd"/>
                  <w:r w:rsidRPr="004E275C">
                    <w:rPr>
                      <w:rFonts w:ascii="Arial" w:eastAsia="Times New Roman" w:hAnsi="Arial" w:cs="Arial"/>
                      <w:sz w:val="20"/>
                      <w:szCs w:val="20"/>
                      <w:lang w:eastAsia="en-AU"/>
                    </w:rPr>
                    <w:t xml:space="preserve">, by a person in a fire fighting appliance up to 4.5m from the sign.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47</w:t>
            </w:r>
          </w:p>
        </w:tc>
        <w:tc>
          <w:tcPr>
            <w:tcW w:w="2776" w:type="pct"/>
            <w:gridSpan w:val="2"/>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E275C">
              <w:rPr>
                <w:rFonts w:ascii="Arial" w:eastAsia="Times New Roman" w:hAnsi="Arial" w:cs="Arial"/>
                <w:i/>
                <w:iCs/>
                <w:sz w:val="20"/>
                <w:szCs w:val="20"/>
                <w:lang w:eastAsia="en-AU"/>
              </w:rPr>
              <w:t>Fire hydrant indication system</w:t>
            </w:r>
            <w:r w:rsidRPr="004E275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5"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53" w:type="pct"/>
            <w:gridSpan w:val="2"/>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blPrEx>
          <w:tblBorders>
            <w:insideH w:val="outset" w:sz="6" w:space="0" w:color="auto"/>
            <w:insideV w:val="outset" w:sz="6" w:space="0" w:color="auto"/>
          </w:tblBorders>
        </w:tblPrEx>
        <w:trPr>
          <w:tblCellSpacing w:w="15" w:type="dxa"/>
        </w:trPr>
        <w:tc>
          <w:tcPr>
            <w:tcW w:w="4980" w:type="pct"/>
            <w:gridSpan w:val="7"/>
            <w:shd w:val="clear" w:color="auto" w:fill="CCCCCC"/>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Use specific requirements</w:t>
            </w:r>
          </w:p>
        </w:tc>
      </w:tr>
      <w:tr w:rsidR="004E77C3" w:rsidRPr="004E275C" w:rsidTr="004E77C3">
        <w:tblPrEx>
          <w:tblBorders>
            <w:insideH w:val="outset" w:sz="6" w:space="0" w:color="auto"/>
            <w:insideV w:val="outset" w:sz="6" w:space="0" w:color="auto"/>
          </w:tblBorders>
        </w:tblPrEx>
        <w:trPr>
          <w:tblCellSpacing w:w="15" w:type="dxa"/>
        </w:trPr>
        <w:tc>
          <w:tcPr>
            <w:tcW w:w="4980" w:type="pct"/>
            <w:gridSpan w:val="7"/>
            <w:shd w:val="clear" w:color="auto" w:fill="CCCCCC"/>
            <w:hideMark/>
          </w:tcPr>
          <w:p w:rsidR="004E77C3" w:rsidRPr="004E275C" w:rsidRDefault="004E77C3"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Land use</w:t>
            </w:r>
          </w:p>
        </w:tc>
      </w:tr>
      <w:tr w:rsidR="0052102A" w:rsidRPr="004E275C" w:rsidTr="004E77C3">
        <w:tblPrEx>
          <w:tblBorders>
            <w:insideH w:val="outset" w:sz="6" w:space="0" w:color="auto"/>
            <w:insideV w:val="outset" w:sz="6" w:space="0" w:color="auto"/>
          </w:tblBorders>
        </w:tblPrEx>
        <w:trPr>
          <w:trHeight w:val="2520"/>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48</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within 100m of a sensitive zone:</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undertaken fully indoors;</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uses do not create audible noise measured at the boundary of the site between the hours of 7:00 pm and 6:00 am;</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new plant or air conditioning equipment is not located along adjoining boundaries with sensitive land uses and screened from view of the street; </w:t>
            </w:r>
          </w:p>
          <w:p w:rsidR="0052102A" w:rsidRPr="004E275C" w:rsidRDefault="0052102A" w:rsidP="004E275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landscaping and noise attenuating fencing are used to buffer visual and audible impacts generated from the use.</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49</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combined area for ancillary office</w:t>
            </w:r>
            <w:r w:rsidRPr="004E275C">
              <w:rPr>
                <w:rFonts w:ascii="Arial" w:eastAsia="Times New Roman" w:hAnsi="Arial" w:cs="Arial"/>
                <w:sz w:val="20"/>
                <w:szCs w:val="20"/>
                <w:vertAlign w:val="superscript"/>
                <w:lang w:eastAsia="en-AU"/>
              </w:rPr>
              <w:t>(</w:t>
            </w:r>
            <w:hyperlink r:id="rId1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E275C">
                <w:rPr>
                  <w:rFonts w:ascii="Arial" w:eastAsia="Times New Roman" w:hAnsi="Arial" w:cs="Arial"/>
                  <w:color w:val="0000FF"/>
                  <w:sz w:val="20"/>
                  <w:szCs w:val="20"/>
                  <w:vertAlign w:val="superscript"/>
                  <w:lang w:eastAsia="en-AU"/>
                </w:rPr>
                <w:t>53</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and administration functions does not exceed 10% of the GFA or 200m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whichever is the lesser.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50</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display of items for sale to the public is limited to commodities, articles or goods resulting from the industrial processes undertaken on-site and limited to 5% of the GFA or 100m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the use, whichever is the lesser.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181" w:type="pct"/>
            <w:gridSpan w:val="4"/>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Caretaker's accommodation</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4"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p>
        </w:tc>
        <w:tc>
          <w:tcPr>
            <w:tcW w:w="790" w:type="pct"/>
            <w:gridSpan w:val="2"/>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9"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51</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Caretaker's accommodation</w:t>
            </w:r>
            <w:r w:rsidRPr="004E275C">
              <w:rPr>
                <w:rFonts w:ascii="Arial" w:eastAsia="Times New Roman" w:hAnsi="Arial" w:cs="Arial"/>
                <w:sz w:val="20"/>
                <w:szCs w:val="20"/>
                <w:vertAlign w:val="superscript"/>
                <w:lang w:eastAsia="en-AU"/>
              </w:rPr>
              <w:t>(</w:t>
            </w:r>
            <w:hyperlink r:id="rId15" w:anchor="target-d60239e447244" w:tooltip="Caretaker’s accommodation - A dwelling provided for a caretaker of a non-residential use on the same premises." w:history="1">
              <w:r w:rsidRPr="004E275C">
                <w:rPr>
                  <w:rFonts w:ascii="Arial" w:eastAsia="Times New Roman" w:hAnsi="Arial" w:cs="Arial"/>
                  <w:color w:val="0000FF"/>
                  <w:sz w:val="20"/>
                  <w:szCs w:val="20"/>
                  <w:vertAlign w:val="superscript"/>
                  <w:lang w:eastAsia="en-AU"/>
                </w:rPr>
                <w:t>10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has a maximum GFA of 80m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does not gain access from a separate driveway to the principal use of the site;</w:t>
            </w:r>
          </w:p>
          <w:p w:rsidR="0052102A" w:rsidRPr="004E275C" w:rsidRDefault="0052102A" w:rsidP="004E275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Includes a minimum 16m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of private open space directly accessible from a habitable room.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181" w:type="pct"/>
            <w:gridSpan w:val="4"/>
            <w:shd w:val="clear" w:color="auto" w:fill="CCCCCC"/>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Sales office</w:t>
            </w:r>
            <w:r w:rsidRPr="004E275C">
              <w:rPr>
                <w:rFonts w:ascii="Arial" w:eastAsia="Times New Roman" w:hAnsi="Arial" w:cs="Arial"/>
                <w:sz w:val="20"/>
                <w:szCs w:val="20"/>
                <w:lang w:eastAsia="en-AU"/>
              </w:rPr>
              <w:t xml:space="preserve"> </w:t>
            </w:r>
            <w:r w:rsidRPr="004E275C">
              <w:rPr>
                <w:rFonts w:ascii="Arial" w:eastAsia="Times New Roman" w:hAnsi="Arial" w:cs="Arial"/>
                <w:sz w:val="20"/>
                <w:szCs w:val="20"/>
                <w:vertAlign w:val="superscript"/>
                <w:lang w:eastAsia="en-AU"/>
              </w:rPr>
              <w:t>(</w:t>
            </w:r>
            <w:hyperlink r:id="rId16" w:anchor="target-d60239e448827" w:tooltip="Sales office - The temporary use of premises for displaying a land parcel or buildings that can be built for sale or can be won as a prize.  The use may include a caravan or relocatable dwelling or structure." w:history="1">
              <w:r w:rsidRPr="004E275C">
                <w:rPr>
                  <w:rFonts w:ascii="Arial" w:eastAsia="Times New Roman" w:hAnsi="Arial" w:cs="Arial"/>
                  <w:color w:val="0000FF"/>
                  <w:sz w:val="20"/>
                  <w:szCs w:val="20"/>
                  <w:vertAlign w:val="superscript"/>
                  <w:lang w:eastAsia="en-AU"/>
                </w:rPr>
                <w:t>72</w:t>
              </w:r>
            </w:hyperlink>
            <w:r w:rsidRPr="004E275C">
              <w:rPr>
                <w:rFonts w:ascii="Arial" w:eastAsia="Times New Roman" w:hAnsi="Arial" w:cs="Arial"/>
                <w:sz w:val="20"/>
                <w:szCs w:val="20"/>
                <w:vertAlign w:val="superscript"/>
                <w:lang w:eastAsia="en-AU"/>
              </w:rPr>
              <w:t>)</w:t>
            </w:r>
          </w:p>
        </w:tc>
        <w:tc>
          <w:tcPr>
            <w:tcW w:w="790" w:type="pct"/>
            <w:gridSpan w:val="2"/>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9" w:type="pct"/>
            <w:shd w:val="clear" w:color="auto" w:fill="CCCCCC"/>
          </w:tcPr>
          <w:p w:rsidR="0052102A" w:rsidRPr="004E275C" w:rsidRDefault="0052102A"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52</w:t>
            </w:r>
          </w:p>
        </w:tc>
        <w:tc>
          <w:tcPr>
            <w:tcW w:w="2806"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use is not carried out for longer than 2 years from the date of commencement.</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blPrEx>
          <w:tblBorders>
            <w:insideH w:val="outset" w:sz="6" w:space="0" w:color="auto"/>
            <w:insideV w:val="outset" w:sz="6" w:space="0" w:color="auto"/>
          </w:tblBorders>
        </w:tblPrEx>
        <w:trPr>
          <w:tblCellSpacing w:w="15" w:type="dxa"/>
        </w:trPr>
        <w:tc>
          <w:tcPr>
            <w:tcW w:w="4980" w:type="pct"/>
            <w:gridSpan w:val="7"/>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Telecommunications facility</w:t>
            </w:r>
            <w:r w:rsidRPr="004E275C">
              <w:rPr>
                <w:rFonts w:ascii="Arial" w:eastAsia="Times New Roman" w:hAnsi="Arial" w:cs="Arial"/>
                <w:b/>
                <w:bCs/>
                <w:sz w:val="20"/>
                <w:szCs w:val="20"/>
                <w:vertAlign w:val="superscript"/>
                <w:lang w:eastAsia="en-AU"/>
              </w:rPr>
              <w:t>(</w:t>
            </w:r>
            <w:hyperlink r:id="rId17"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In accordance with the Federal legislation Telecommunications facilities</w:t>
                  </w:r>
                  <w:r w:rsidRPr="004E275C">
                    <w:rPr>
                      <w:rFonts w:ascii="Arial" w:eastAsia="Times New Roman" w:hAnsi="Arial" w:cs="Arial"/>
                      <w:sz w:val="20"/>
                      <w:szCs w:val="20"/>
                      <w:vertAlign w:val="superscript"/>
                      <w:lang w:eastAsia="en-AU"/>
                    </w:rPr>
                    <w:t>(</w:t>
                  </w:r>
                  <w:hyperlink r:id="rId18"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53</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w:t>
            </w:r>
            <w:r w:rsidR="009C46FD">
              <w:rPr>
                <w:rFonts w:ascii="Arial" w:eastAsia="Times New Roman" w:hAnsi="Arial" w:cs="Arial"/>
                <w:sz w:val="20"/>
                <w:szCs w:val="20"/>
                <w:lang w:eastAsia="en-AU"/>
              </w:rPr>
              <w:t xml:space="preserve">area </w:t>
            </w:r>
            <w:r w:rsidRPr="004E275C">
              <w:rPr>
                <w:rFonts w:ascii="Arial" w:eastAsia="Times New Roman" w:hAnsi="Arial" w:cs="Arial"/>
                <w:sz w:val="20"/>
                <w:szCs w:val="20"/>
                <w:lang w:eastAsia="en-AU"/>
              </w:rPr>
              <w:t>of 45m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54</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55</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Equipment shelters and associated structures are located:</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directly beside the existing equipment shelter and associated structures;</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behind the main building line;</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further away from the frontage than the existing equipment shelter and associated structures;</w:t>
            </w:r>
          </w:p>
          <w:p w:rsidR="0052102A" w:rsidRPr="004E275C" w:rsidRDefault="0052102A" w:rsidP="004E275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56</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57</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The facility is enclosed by security fencing or by other means to ensure public access is prohibited.</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58</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45"/>
            </w:tblGrid>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rPr>
                      <w:rFonts w:ascii="Arial" w:eastAsia="Times New Roman" w:hAnsi="Arial" w:cs="Arial"/>
                      <w:sz w:val="18"/>
                      <w:szCs w:val="20"/>
                      <w:lang w:eastAsia="en-AU"/>
                    </w:rPr>
                  </w:pPr>
                  <w:r w:rsidRPr="004E77C3">
                    <w:rPr>
                      <w:rFonts w:ascii="Arial" w:eastAsia="Times New Roman" w:hAnsi="Arial" w:cs="Arial"/>
                      <w:sz w:val="18"/>
                      <w:szCs w:val="20"/>
                      <w:lang w:eastAsia="en-AU"/>
                    </w:rPr>
                    <w:t>Note - Landscaping is provided in accordance with Planning scheme policy - Integrated design.</w:t>
                  </w:r>
                </w:p>
              </w:tc>
            </w:tr>
            <w:tr w:rsidR="0052102A" w:rsidRPr="004E275C" w:rsidTr="0052102A">
              <w:trPr>
                <w:tblCellSpacing w:w="15" w:type="dxa"/>
              </w:trPr>
              <w:tc>
                <w:tcPr>
                  <w:tcW w:w="13765" w:type="dxa"/>
                  <w:vAlign w:val="center"/>
                  <w:hideMark/>
                </w:tcPr>
                <w:p w:rsidR="0052102A" w:rsidRPr="004E77C3" w:rsidRDefault="0052102A" w:rsidP="004E275C">
                  <w:pPr>
                    <w:spacing w:before="100" w:beforeAutospacing="1" w:after="100" w:afterAutospacing="1" w:line="240" w:lineRule="auto"/>
                    <w:rPr>
                      <w:rFonts w:ascii="Arial" w:eastAsia="Times New Roman" w:hAnsi="Arial" w:cs="Arial"/>
                      <w:sz w:val="18"/>
                      <w:szCs w:val="20"/>
                      <w:lang w:eastAsia="en-AU"/>
                    </w:rPr>
                  </w:pPr>
                  <w:r w:rsidRPr="004E77C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77C3">
        <w:tblPrEx>
          <w:tblBorders>
            <w:insideH w:val="outset" w:sz="6" w:space="0" w:color="auto"/>
            <w:insideV w:val="outset" w:sz="6" w:space="0" w:color="auto"/>
          </w:tblBorders>
        </w:tblPrEx>
        <w:trPr>
          <w:tblCellSpacing w:w="15" w:type="dxa"/>
        </w:trPr>
        <w:tc>
          <w:tcPr>
            <w:tcW w:w="365" w:type="pct"/>
            <w:gridSpan w:val="2"/>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59</w:t>
            </w:r>
          </w:p>
        </w:tc>
        <w:tc>
          <w:tcPr>
            <w:tcW w:w="2806" w:type="pct"/>
            <w:gridSpan w:val="2"/>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equipment comprising the telecommunications facility</w:t>
            </w:r>
            <w:r w:rsidRPr="004E275C">
              <w:rPr>
                <w:rFonts w:ascii="Arial" w:eastAsia="Times New Roman" w:hAnsi="Arial" w:cs="Arial"/>
                <w:sz w:val="20"/>
                <w:szCs w:val="20"/>
                <w:vertAlign w:val="superscript"/>
                <w:lang w:eastAsia="en-AU"/>
              </w:rPr>
              <w:t>(</w:t>
            </w:r>
            <w:hyperlink r:id="rId19" w:anchor="target-d60239e449122" w:tooltip="Telecommunications facility - Premises used for systems that carry communications and signals by means of radio, including guided or unguided electromagnetic energy, whether such facility is manned or remotely controlled." w:history="1">
              <w:r w:rsidRPr="004E275C">
                <w:rPr>
                  <w:rFonts w:ascii="Arial" w:eastAsia="Times New Roman" w:hAnsi="Arial" w:cs="Arial"/>
                  <w:color w:val="0000FF"/>
                  <w:sz w:val="20"/>
                  <w:szCs w:val="20"/>
                  <w:vertAlign w:val="superscript"/>
                  <w:lang w:eastAsia="en-AU"/>
                </w:rPr>
                <w:t>81</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790" w:type="pct"/>
            <w:gridSpan w:val="2"/>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989" w:type="pct"/>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bl>
    <w:p w:rsidR="0052102A" w:rsidRPr="004E275C" w:rsidRDefault="0052102A" w:rsidP="004E275C">
      <w:pPr>
        <w:spacing w:before="100" w:beforeAutospacing="1" w:after="100" w:afterAutospacing="1" w:line="240" w:lineRule="auto"/>
        <w:rPr>
          <w:rFonts w:ascii="Arial" w:hAnsi="Arial" w:cs="Arial"/>
          <w:sz w:val="20"/>
          <w:szCs w:val="20"/>
        </w:rPr>
      </w:pPr>
    </w:p>
    <w:tbl>
      <w:tblPr>
        <w:tblW w:w="4933"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098"/>
        <w:gridCol w:w="8437"/>
        <w:gridCol w:w="2353"/>
        <w:gridCol w:w="3288"/>
      </w:tblGrid>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E275C" w:rsidRPr="004E275C" w:rsidRDefault="004E275C"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The following are excluded from the native clearing provisions of this planning scheme:</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rsidR="004E275C" w:rsidRPr="004E275C" w:rsidRDefault="004E275C" w:rsidP="004E275C">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r>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Note - Definition for native vegetation is located in Schedule 1 Definitions.</w:t>
                  </w:r>
                </w:p>
              </w:tc>
            </w:tr>
            <w:tr w:rsidR="004E275C" w:rsidRPr="004E275C" w:rsidTr="004E275C">
              <w:trPr>
                <w:tblCellSpacing w:w="15" w:type="dxa"/>
              </w:trPr>
              <w:tc>
                <w:tcPr>
                  <w:tcW w:w="15130" w:type="dxa"/>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Editors' Note - When clearing native vegetation within a MSES area, you may still require approval from the State government.</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60</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4E275C">
              <w:rPr>
                <w:rFonts w:ascii="Arial" w:eastAsia="Times New Roman" w:hAnsi="Arial" w:cs="Arial"/>
                <w:sz w:val="20"/>
                <w:szCs w:val="20"/>
                <w:vertAlign w:val="superscript"/>
                <w:lang w:eastAsia="en-AU"/>
              </w:rPr>
              <w:t>(</w:t>
            </w:r>
            <w:hyperlink r:id="rId20"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or extension to an existing dwelling house</w:t>
            </w:r>
            <w:r w:rsidRPr="004E275C">
              <w:rPr>
                <w:rFonts w:ascii="Arial" w:eastAsia="Times New Roman" w:hAnsi="Arial" w:cs="Arial"/>
                <w:sz w:val="20"/>
                <w:szCs w:val="20"/>
                <w:vertAlign w:val="superscript"/>
                <w:lang w:eastAsia="en-AU"/>
              </w:rPr>
              <w:t>(</w:t>
            </w:r>
            <w:hyperlink r:id="rId21"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4E275C">
                <w:rPr>
                  <w:rFonts w:ascii="Arial" w:eastAsia="Times New Roman" w:hAnsi="Arial" w:cs="Arial"/>
                  <w:color w:val="0000FF"/>
                  <w:sz w:val="20"/>
                  <w:szCs w:val="20"/>
                  <w:vertAlign w:val="superscript"/>
                  <w:lang w:eastAsia="en-AU"/>
                </w:rPr>
                <w:t>22</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only on lots less than 750m</w:t>
            </w:r>
            <w:r w:rsidRPr="004E275C">
              <w:rPr>
                <w:rFonts w:ascii="Arial" w:eastAsia="Times New Roman" w:hAnsi="Arial" w:cs="Arial"/>
                <w:sz w:val="20"/>
                <w:szCs w:val="20"/>
                <w:vertAlign w:val="superscript"/>
                <w:lang w:eastAsia="en-AU"/>
              </w:rPr>
              <w:t>2</w:t>
            </w:r>
            <w:r w:rsidRPr="004E275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Editor's note - See in heading above for other uses excluded from native vegetation clearing requirements.</w:t>
                  </w:r>
                </w:p>
              </w:tc>
            </w:tr>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co-locating all associated activities, infrastructure and access strips;</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be the least valued area of koala habitat on the site;</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the footprint of the development envelope area;</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minimise edge effects to areas external to the development envelope;</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52102A" w:rsidRPr="004E275C" w:rsidRDefault="0052102A" w:rsidP="004E275C">
                  <w:pPr>
                    <w:numPr>
                      <w:ilvl w:val="0"/>
                      <w:numId w:val="17"/>
                    </w:numPr>
                    <w:spacing w:before="100" w:beforeAutospacing="1" w:after="100" w:afterAutospacing="1" w:line="240" w:lineRule="auto"/>
                    <w:ind w:left="672"/>
                    <w:rPr>
                      <w:rFonts w:ascii="Arial" w:eastAsia="Times New Roman" w:hAnsi="Arial" w:cs="Arial"/>
                      <w:sz w:val="20"/>
                      <w:szCs w:val="20"/>
                      <w:lang w:eastAsia="en-AU"/>
                    </w:rPr>
                  </w:pPr>
                  <w:proofErr w:type="gramStart"/>
                  <w:r w:rsidRPr="004E275C">
                    <w:rPr>
                      <w:rFonts w:ascii="Arial" w:eastAsia="Times New Roman" w:hAnsi="Arial" w:cs="Arial"/>
                      <w:sz w:val="20"/>
                      <w:szCs w:val="20"/>
                      <w:lang w:eastAsia="en-AU"/>
                    </w:rPr>
                    <w:t>sufficient</w:t>
                  </w:r>
                  <w:proofErr w:type="gramEnd"/>
                  <w:r w:rsidRPr="004E275C">
                    <w:rPr>
                      <w:rFonts w:ascii="Arial" w:eastAsia="Times New Roman" w:hAnsi="Arial" w:cs="Arial"/>
                      <w:sz w:val="20"/>
                      <w:szCs w:val="20"/>
                      <w:lang w:eastAsia="en-AU"/>
                    </w:rPr>
                    <w:t xml:space="preserve"> area between the development and koala habitat trees to achieve their long-term viability.</w:t>
                  </w:r>
                </w:p>
              </w:tc>
            </w:tr>
            <w:tr w:rsidR="0052102A" w:rsidRPr="004E275C" w:rsidTr="004E275C">
              <w:trPr>
                <w:tblCellSpacing w:w="15" w:type="dxa"/>
              </w:trPr>
              <w:tc>
                <w:tcPr>
                  <w:tcW w:w="8529" w:type="dxa"/>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77C3">
                    <w:rPr>
                      <w:rFonts w:ascii="Arial" w:eastAsia="Times New Roman" w:hAnsi="Arial" w:cs="Arial"/>
                      <w:sz w:val="18"/>
                      <w:szCs w:val="20"/>
                      <w:lang w:eastAsia="en-AU"/>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r w:rsidRPr="004E275C">
                    <w:rPr>
                      <w:rFonts w:ascii="Arial" w:eastAsia="Times New Roman" w:hAnsi="Arial" w:cs="Arial"/>
                      <w:sz w:val="20"/>
                      <w:szCs w:val="20"/>
                      <w:lang w:eastAsia="en-AU"/>
                    </w:rPr>
                    <w:t xml:space="preserve">.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61</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This does not apply to the following:</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Clearing of native vegetation located within an approved development footprint;</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Grazing of native pasture by stock;</w:t>
            </w:r>
          </w:p>
          <w:p w:rsidR="0052102A" w:rsidRPr="004E275C" w:rsidRDefault="0052102A" w:rsidP="004E275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Native forest practice where accepted development under Part 1, 1.7.7 Accepted development.</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62</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is for the preservation, maintenance, repair and restoration of the site, object or building.</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52102A">
              <w:trPr>
                <w:tblCellSpacing w:w="15" w:type="dxa"/>
              </w:trPr>
              <w:tc>
                <w:tcPr>
                  <w:tcW w:w="13765" w:type="dxa"/>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Note - Preservation, maintenance, repair and restoration are defined in Schedule 1 - Definitions</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63</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77C3">
              <w:rPr>
                <w:rFonts w:ascii="Arial" w:eastAsia="Times New Roman" w:hAnsi="Arial" w:cs="Arial"/>
                <w:sz w:val="18"/>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64</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65</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construction of any building;</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laying of overhead or underground services;</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any sealing, paving, soil compaction;</w:t>
            </w:r>
          </w:p>
          <w:p w:rsidR="0052102A" w:rsidRPr="004E275C" w:rsidRDefault="0052102A" w:rsidP="004E275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any alteration of more than 75mm to the ground </w:t>
            </w:r>
            <w:r w:rsidR="009C46FD">
              <w:rPr>
                <w:rFonts w:ascii="Arial" w:eastAsia="Times New Roman" w:hAnsi="Arial" w:cs="Arial"/>
                <w:sz w:val="20"/>
                <w:szCs w:val="20"/>
                <w:lang w:eastAsia="en-AU"/>
              </w:rPr>
              <w:t>surface</w:t>
            </w:r>
            <w:r w:rsidRPr="004E275C">
              <w:rPr>
                <w:rFonts w:ascii="Arial" w:eastAsia="Times New Roman" w:hAnsi="Arial" w:cs="Arial"/>
                <w:sz w:val="20"/>
                <w:szCs w:val="20"/>
                <w:lang w:eastAsia="en-AU"/>
              </w:rPr>
              <w:t xml:space="preserve"> prior to work commencing.</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66</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Pruning of a significant tree occurs in accordance with Australian Standard AS 4373-2007 - Pruning of Amenity Trees.</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Infrastructure buffers (refer Overlay map - Infrastructure buffers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67</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All habitable rooms located within an Electricity supply substation buffer are:</w:t>
            </w:r>
          </w:p>
          <w:p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a minimum of 10m from an electricity supply substation</w:t>
            </w:r>
            <w:r w:rsidRPr="004E275C">
              <w:rPr>
                <w:rFonts w:ascii="Arial" w:eastAsia="Times New Roman" w:hAnsi="Arial" w:cs="Arial"/>
                <w:sz w:val="20"/>
                <w:szCs w:val="20"/>
                <w:vertAlign w:val="superscript"/>
                <w:lang w:eastAsia="en-AU"/>
              </w:rPr>
              <w:t>(</w:t>
            </w:r>
            <w:hyperlink r:id="rId22"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275C">
                <w:rPr>
                  <w:rFonts w:ascii="Arial" w:eastAsia="Times New Roman" w:hAnsi="Arial" w:cs="Arial"/>
                  <w:color w:val="0000FF"/>
                  <w:sz w:val="20"/>
                  <w:szCs w:val="20"/>
                  <w:vertAlign w:val="superscript"/>
                  <w:lang w:eastAsia="en-AU"/>
                </w:rPr>
                <w:t>80</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 and </w:t>
            </w:r>
          </w:p>
          <w:p w:rsidR="0052102A" w:rsidRPr="004E275C" w:rsidRDefault="0052102A" w:rsidP="004E275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Overland flow path (refer Overlay map - Overland flow path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68</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69</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52102A">
              <w:trPr>
                <w:tblCellSpacing w:w="15" w:type="dxa"/>
              </w:trPr>
              <w:tc>
                <w:tcPr>
                  <w:tcW w:w="13765" w:type="dxa"/>
                  <w:vAlign w:val="center"/>
                  <w:hideMark/>
                </w:tcPr>
                <w:p w:rsidR="0052102A" w:rsidRPr="00B6426B" w:rsidRDefault="0052102A" w:rsidP="004E275C">
                  <w:pPr>
                    <w:spacing w:before="100" w:beforeAutospacing="1" w:after="100" w:afterAutospacing="1" w:line="240" w:lineRule="auto"/>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B6426B">
                    <w:rPr>
                      <w:rFonts w:ascii="Arial" w:eastAsia="Times New Roman" w:hAnsi="Arial" w:cs="Arial"/>
                      <w:sz w:val="18"/>
                      <w:szCs w:val="20"/>
                      <w:lang w:eastAsia="en-AU"/>
                    </w:rPr>
                    <w:t>upstream, downstream or surrounding premises</w:t>
                  </w:r>
                  <w:proofErr w:type="gramEnd"/>
                  <w:r w:rsidRPr="00B6426B">
                    <w:rPr>
                      <w:rFonts w:ascii="Arial" w:eastAsia="Times New Roman" w:hAnsi="Arial" w:cs="Arial"/>
                      <w:sz w:val="18"/>
                      <w:szCs w:val="20"/>
                      <w:lang w:eastAsia="en-AU"/>
                    </w:rPr>
                    <w:t xml:space="preserve">. </w:t>
                  </w:r>
                </w:p>
              </w:tc>
            </w:tr>
            <w:tr w:rsidR="0052102A" w:rsidRPr="004E275C" w:rsidTr="0052102A">
              <w:trPr>
                <w:tblCellSpacing w:w="15" w:type="dxa"/>
              </w:trPr>
              <w:tc>
                <w:tcPr>
                  <w:tcW w:w="13765" w:type="dxa"/>
                  <w:vAlign w:val="center"/>
                  <w:hideMark/>
                </w:tcPr>
                <w:p w:rsidR="0052102A" w:rsidRPr="00B6426B" w:rsidRDefault="0052102A" w:rsidP="004E275C">
                  <w:pPr>
                    <w:spacing w:before="100" w:beforeAutospacing="1" w:after="100" w:afterAutospacing="1" w:line="240" w:lineRule="auto"/>
                    <w:rPr>
                      <w:rFonts w:ascii="Arial" w:eastAsia="Times New Roman" w:hAnsi="Arial" w:cs="Arial"/>
                      <w:sz w:val="18"/>
                      <w:szCs w:val="20"/>
                      <w:lang w:eastAsia="en-AU"/>
                    </w:rPr>
                  </w:pPr>
                  <w:r w:rsidRPr="00B6426B">
                    <w:rPr>
                      <w:rFonts w:ascii="Arial" w:eastAsia="Times New Roman" w:hAnsi="Arial" w:cs="Arial"/>
                      <w:sz w:val="18"/>
                      <w:szCs w:val="20"/>
                      <w:lang w:eastAsia="en-AU"/>
                    </w:rPr>
                    <w:t>Note - Reporting to be prepared in accordance with Planning scheme policy – Flood hazard, Coastal hazard and Overland flow</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70</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71</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72</w:t>
            </w:r>
          </w:p>
        </w:tc>
        <w:tc>
          <w:tcPr>
            <w:tcW w:w="2786" w:type="pct"/>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Development for a material change of use or building work for a Park</w:t>
            </w:r>
            <w:r w:rsidRPr="004E275C">
              <w:rPr>
                <w:rFonts w:ascii="Arial" w:eastAsia="Times New Roman" w:hAnsi="Arial" w:cs="Arial"/>
                <w:sz w:val="20"/>
                <w:szCs w:val="20"/>
                <w:vertAlign w:val="superscript"/>
                <w:lang w:eastAsia="en-AU"/>
              </w:rPr>
              <w:t>(</w:t>
            </w:r>
            <w:hyperlink r:id="rId2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275C">
                <w:rPr>
                  <w:rFonts w:ascii="Arial" w:eastAsia="Times New Roman" w:hAnsi="Arial" w:cs="Arial"/>
                  <w:color w:val="0000FF"/>
                  <w:sz w:val="20"/>
                  <w:szCs w:val="20"/>
                  <w:vertAlign w:val="superscript"/>
                  <w:lang w:eastAsia="en-AU"/>
                </w:rPr>
                <w:t>57</w:t>
              </w:r>
            </w:hyperlink>
            <w:r w:rsidRPr="004E275C">
              <w:rPr>
                <w:rFonts w:ascii="Arial" w:eastAsia="Times New Roman" w:hAnsi="Arial" w:cs="Arial"/>
                <w:sz w:val="20"/>
                <w:szCs w:val="20"/>
                <w:vertAlign w:val="superscript"/>
                <w:lang w:eastAsia="en-AU"/>
              </w:rPr>
              <w:t>)</w:t>
            </w:r>
            <w:r w:rsidRPr="004E275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86"/>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lastRenderedPageBreak/>
              <w:t>RAD</w:t>
            </w:r>
            <w:r w:rsidR="009C46FD">
              <w:rPr>
                <w:rFonts w:ascii="Arial" w:eastAsia="Times New Roman" w:hAnsi="Arial" w:cs="Arial"/>
                <w:b/>
                <w:bCs/>
                <w:sz w:val="20"/>
                <w:szCs w:val="20"/>
                <w:lang w:eastAsia="en-AU"/>
              </w:rPr>
              <w:t>73</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No development is to occur within:</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50m from top of bank for W1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30m from top of bank for W2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20m from top of bank for W3 waterway and drainage line</w:t>
            </w:r>
          </w:p>
          <w:p w:rsidR="0052102A" w:rsidRPr="004E275C" w:rsidRDefault="0052102A" w:rsidP="004E275C">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E275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7"/>
            </w:tblGrid>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52102A" w:rsidRPr="004E275C" w:rsidTr="004E275C">
              <w:trPr>
                <w:tblCellSpacing w:w="15" w:type="dxa"/>
              </w:trPr>
              <w:tc>
                <w:tcPr>
                  <w:tcW w:w="8423" w:type="dxa"/>
                  <w:vAlign w:val="center"/>
                  <w:hideMark/>
                </w:tcPr>
                <w:p w:rsidR="0052102A" w:rsidRPr="00B6426B" w:rsidRDefault="0052102A" w:rsidP="004E275C">
                  <w:pPr>
                    <w:spacing w:before="100" w:beforeAutospacing="1" w:after="100" w:afterAutospacing="1" w:line="240" w:lineRule="auto"/>
                    <w:ind w:left="150" w:right="150"/>
                    <w:rPr>
                      <w:rFonts w:ascii="Arial" w:eastAsia="Times New Roman" w:hAnsi="Arial" w:cs="Arial"/>
                      <w:sz w:val="18"/>
                      <w:szCs w:val="20"/>
                      <w:lang w:eastAsia="en-AU"/>
                    </w:rPr>
                  </w:pPr>
                  <w:r w:rsidRPr="00B6426B">
                    <w:rPr>
                      <w:rFonts w:ascii="Arial" w:eastAsia="Times New Roman" w:hAnsi="Arial" w:cs="Arial"/>
                      <w:sz w:val="18"/>
                      <w:szCs w:val="20"/>
                      <w:lang w:eastAsia="en-AU"/>
                    </w:rPr>
                    <w:t xml:space="preserve">Note - The minimum setback distance applies to </w:t>
                  </w:r>
                  <w:proofErr w:type="gramStart"/>
                  <w:r w:rsidRPr="00B6426B">
                    <w:rPr>
                      <w:rFonts w:ascii="Arial" w:eastAsia="Times New Roman" w:hAnsi="Arial" w:cs="Arial"/>
                      <w:sz w:val="18"/>
                      <w:szCs w:val="20"/>
                      <w:lang w:eastAsia="en-AU"/>
                    </w:rPr>
                    <w:t>the each</w:t>
                  </w:r>
                  <w:proofErr w:type="gramEnd"/>
                  <w:r w:rsidRPr="00B6426B">
                    <w:rPr>
                      <w:rFonts w:ascii="Arial" w:eastAsia="Times New Roman" w:hAnsi="Arial" w:cs="Arial"/>
                      <w:sz w:val="18"/>
                      <w:szCs w:val="20"/>
                      <w:lang w:eastAsia="en-AU"/>
                    </w:rPr>
                    <w:t xml:space="preserve"> side of waterway.</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74</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buildings and structures are not:</w:t>
            </w:r>
          </w:p>
          <w:p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located on a hill top or ridge line; and</w:t>
            </w:r>
          </w:p>
          <w:p w:rsidR="0052102A" w:rsidRPr="004E275C" w:rsidRDefault="0052102A" w:rsidP="004E275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all parts of the building and structure are located below the hill top or ridge line.</w:t>
            </w:r>
          </w:p>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p w:rsidR="0052102A" w:rsidRPr="004E275C" w:rsidRDefault="0052102A" w:rsidP="00B6426B">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lastRenderedPageBreak/>
              <w:drawing>
                <wp:inline distT="0" distB="0" distL="0" distR="0" wp14:anchorId="291047CC" wp14:editId="709F17ED">
                  <wp:extent cx="3629025" cy="3343275"/>
                  <wp:effectExtent l="0" t="0" r="9525" b="9525"/>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ting on a slop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75</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Where located in the Regionally significant (Hills) scenic amenity overlay, driveways and accessways:</w:t>
            </w:r>
          </w:p>
          <w:p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go across land contours and do not cut straight up slopes;</w:t>
            </w:r>
          </w:p>
          <w:p w:rsidR="0052102A" w:rsidRPr="004E275C" w:rsidRDefault="0052102A" w:rsidP="004E275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275C">
              <w:rPr>
                <w:rFonts w:ascii="Arial" w:eastAsia="Times New Roman" w:hAnsi="Arial" w:cs="Arial"/>
                <w:sz w:val="20"/>
                <w:szCs w:val="20"/>
                <w:lang w:eastAsia="en-AU"/>
              </w:rPr>
              <w:t>follow natural contours, not resulting in batters or retaining walls being greater than 1m in height.</w:t>
            </w:r>
          </w:p>
          <w:p w:rsidR="0052102A" w:rsidRPr="004E275C" w:rsidRDefault="0052102A" w:rsidP="00B6426B">
            <w:pPr>
              <w:spacing w:before="100" w:beforeAutospacing="1" w:after="100" w:afterAutospacing="1" w:line="240" w:lineRule="auto"/>
              <w:jc w:val="center"/>
              <w:rPr>
                <w:rFonts w:ascii="Arial" w:eastAsia="Times New Roman" w:hAnsi="Arial" w:cs="Arial"/>
                <w:sz w:val="20"/>
                <w:szCs w:val="20"/>
                <w:lang w:eastAsia="en-AU"/>
              </w:rPr>
            </w:pPr>
            <w:r w:rsidRPr="004E275C">
              <w:rPr>
                <w:rFonts w:ascii="Arial" w:eastAsia="Times New Roman" w:hAnsi="Arial" w:cs="Arial"/>
                <w:noProof/>
                <w:sz w:val="20"/>
                <w:szCs w:val="20"/>
                <w:lang w:eastAsia="en-AU"/>
              </w:rPr>
              <w:lastRenderedPageBreak/>
              <w:drawing>
                <wp:inline distT="0" distB="0" distL="0" distR="0" wp14:anchorId="2265CF7E" wp14:editId="36D5D9EF">
                  <wp:extent cx="3600450" cy="3048000"/>
                  <wp:effectExtent l="0" t="0" r="0" b="0"/>
                  <wp:docPr id="3" name="Picture 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ages and driveways pi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76</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840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97"/>
              <w:gridCol w:w="2693"/>
              <w:gridCol w:w="3119"/>
            </w:tblGrid>
            <w:tr w:rsidR="0052102A" w:rsidRPr="004E275C" w:rsidTr="004E275C">
              <w:trPr>
                <w:tblCellSpacing w:w="15" w:type="dxa"/>
              </w:trPr>
              <w:tc>
                <w:tcPr>
                  <w:tcW w:w="8349"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52102A" w:rsidRPr="004E275C" w:rsidRDefault="0052102A" w:rsidP="004E275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275C">
                    <w:rPr>
                      <w:rFonts w:ascii="Arial" w:eastAsia="Times New Roman" w:hAnsi="Arial" w:cs="Arial"/>
                      <w:b/>
                      <w:bCs/>
                      <w:sz w:val="20"/>
                      <w:szCs w:val="20"/>
                      <w:lang w:eastAsia="en-AU"/>
                    </w:rPr>
                    <w:t>Colours from Australian Standard AS2700s – 1996</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G12 – Holly</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G53 – Banksia</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N44 – Bridge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G13 – Emerald</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G54 – Mist Green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N45 – Koala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G14 – Moss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G55 – Lichen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N52 – Mid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G15 – Rainforest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G56 – Sage Green</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N54 – Basalt</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G16 – Traffic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G62 – Rivergum</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N55 – Lead Grey</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G17 – Mint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G64 – Slate</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X54 – Brown</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G21 – Jade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G65 – Ti Tree</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X61 – Wombat</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G22 – Serpentine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N25 – Birch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X62 – Dark Earth</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lastRenderedPageBreak/>
                    <w:t>G23 – Shamrock</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N32 – Green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X63 – Iron Bark</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G24 – Fern Green</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N33 – Lightbox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Y51 – Bronze Olive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G25 – Olive</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N35 – Light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Y61 – Black Olive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G34 – Avocado</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N41 – Oyster </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Y63 – Khaki</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G52 – Eucalyptus</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N42 – Storm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Y66 – Mudstone</w:t>
                  </w:r>
                </w:p>
              </w:tc>
            </w:tr>
            <w:tr w:rsidR="0052102A" w:rsidRPr="004E275C" w:rsidTr="004E275C">
              <w:trPr>
                <w:tblCellSpacing w:w="15" w:type="dxa"/>
              </w:trPr>
              <w:tc>
                <w:tcPr>
                  <w:tcW w:w="2552"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c>
                <w:tcPr>
                  <w:tcW w:w="2663" w:type="dxa"/>
                  <w:tcBorders>
                    <w:top w:val="outset" w:sz="6" w:space="0" w:color="auto"/>
                    <w:left w:val="outset" w:sz="6" w:space="0" w:color="auto"/>
                    <w:bottom w:val="outset" w:sz="6" w:space="0" w:color="auto"/>
                    <w:right w:val="outset" w:sz="6" w:space="0" w:color="auto"/>
                  </w:tcBorders>
                  <w:vAlign w:val="bottom"/>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N43 – Pipeline Grey</w:t>
                  </w:r>
                </w:p>
              </w:tc>
              <w:tc>
                <w:tcPr>
                  <w:tcW w:w="3074" w:type="dxa"/>
                  <w:tcBorders>
                    <w:top w:val="outset" w:sz="6" w:space="0" w:color="auto"/>
                    <w:left w:val="outset" w:sz="6" w:space="0" w:color="auto"/>
                    <w:bottom w:val="outset" w:sz="6" w:space="0" w:color="auto"/>
                    <w:right w:val="outset" w:sz="6" w:space="0" w:color="auto"/>
                  </w:tcBorders>
                  <w:vAlign w:val="center"/>
                  <w:hideMark/>
                </w:tcPr>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r w:rsidRPr="004E275C">
                    <w:rPr>
                      <w:rFonts w:ascii="Arial" w:eastAsia="Times New Roman" w:hAnsi="Arial" w:cs="Arial"/>
                      <w:sz w:val="20"/>
                      <w:szCs w:val="20"/>
                      <w:lang w:eastAsia="en-AU"/>
                    </w:rPr>
                    <w:t> </w:t>
                  </w:r>
                </w:p>
              </w:tc>
            </w:tr>
          </w:tbl>
          <w:p w:rsidR="0052102A" w:rsidRPr="004E275C" w:rsidRDefault="0052102A" w:rsidP="004E275C">
            <w:pPr>
              <w:spacing w:before="100" w:beforeAutospacing="1" w:after="100" w:afterAutospacing="1" w:line="240" w:lineRule="auto"/>
              <w:rPr>
                <w:rFonts w:ascii="Arial" w:eastAsia="Times New Roman" w:hAnsi="Arial" w:cs="Arial"/>
                <w:sz w:val="20"/>
                <w:szCs w:val="20"/>
                <w:lang w:eastAsia="en-AU"/>
              </w:rPr>
            </w:pP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52102A" w:rsidRPr="004E275C" w:rsidTr="004E275C">
        <w:trPr>
          <w:tblCellSpacing w:w="15" w:type="dxa"/>
        </w:trPr>
        <w:tc>
          <w:tcPr>
            <w:tcW w:w="349"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RAD</w:t>
            </w:r>
            <w:r w:rsidR="009C46FD">
              <w:rPr>
                <w:rFonts w:ascii="Arial" w:eastAsia="Times New Roman" w:hAnsi="Arial" w:cs="Arial"/>
                <w:b/>
                <w:bCs/>
                <w:sz w:val="20"/>
                <w:szCs w:val="20"/>
                <w:lang w:eastAsia="en-AU"/>
              </w:rPr>
              <w:t>77</w:t>
            </w:r>
          </w:p>
        </w:tc>
        <w:tc>
          <w:tcPr>
            <w:tcW w:w="2786" w:type="pct"/>
            <w:tcBorders>
              <w:top w:val="outset" w:sz="6" w:space="0" w:color="auto"/>
              <w:left w:val="outset" w:sz="6" w:space="0" w:color="auto"/>
              <w:bottom w:val="outset" w:sz="6" w:space="0" w:color="auto"/>
              <w:right w:val="outset" w:sz="6" w:space="0" w:color="auto"/>
            </w:tcBorders>
            <w:hideMark/>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Where located in </w:t>
            </w:r>
            <w:proofErr w:type="gramStart"/>
            <w:r w:rsidRPr="004E275C">
              <w:rPr>
                <w:rFonts w:ascii="Arial" w:eastAsia="Times New Roman" w:hAnsi="Arial" w:cs="Arial"/>
                <w:sz w:val="20"/>
                <w:szCs w:val="20"/>
                <w:lang w:eastAsia="en-AU"/>
              </w:rPr>
              <w:t>the  Regionally</w:t>
            </w:r>
            <w:proofErr w:type="gramEnd"/>
            <w:r w:rsidRPr="004E275C">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770"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c>
          <w:tcPr>
            <w:tcW w:w="1047" w:type="pct"/>
            <w:tcBorders>
              <w:top w:val="outset" w:sz="6" w:space="0" w:color="auto"/>
              <w:left w:val="outset" w:sz="6" w:space="0" w:color="auto"/>
              <w:bottom w:val="outset" w:sz="6" w:space="0" w:color="auto"/>
              <w:right w:val="outset" w:sz="6" w:space="0" w:color="auto"/>
            </w:tcBorders>
          </w:tcPr>
          <w:p w:rsidR="0052102A" w:rsidRPr="004E275C" w:rsidRDefault="0052102A" w:rsidP="004E275C">
            <w:pPr>
              <w:spacing w:before="100" w:beforeAutospacing="1" w:after="100" w:afterAutospacing="1" w:line="240" w:lineRule="auto"/>
              <w:ind w:left="150" w:right="150"/>
              <w:rPr>
                <w:rFonts w:ascii="Arial" w:eastAsia="Times New Roman" w:hAnsi="Arial" w:cs="Arial"/>
                <w:sz w:val="20"/>
                <w:szCs w:val="20"/>
                <w:lang w:eastAsia="en-AU"/>
              </w:rPr>
            </w:pPr>
          </w:p>
        </w:tc>
      </w:tr>
      <w:tr w:rsidR="004E275C" w:rsidRPr="004E275C" w:rsidTr="004E27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43"/>
            </w:tblGrid>
            <w:tr w:rsidR="004E275C" w:rsidRPr="004E275C" w:rsidTr="0052102A">
              <w:trPr>
                <w:tblCellSpacing w:w="15" w:type="dxa"/>
              </w:trPr>
              <w:tc>
                <w:tcPr>
                  <w:tcW w:w="15383" w:type="dxa"/>
                  <w:vAlign w:val="center"/>
                  <w:hideMark/>
                </w:tcPr>
                <w:p w:rsidR="004E275C" w:rsidRPr="004E275C" w:rsidRDefault="004E275C" w:rsidP="004E275C">
                  <w:pPr>
                    <w:spacing w:before="100" w:beforeAutospacing="1" w:after="100" w:afterAutospacing="1" w:line="240" w:lineRule="auto"/>
                    <w:ind w:left="150" w:right="150"/>
                    <w:rPr>
                      <w:rFonts w:ascii="Arial" w:eastAsia="Times New Roman" w:hAnsi="Arial" w:cs="Arial"/>
                      <w:sz w:val="20"/>
                      <w:szCs w:val="20"/>
                      <w:lang w:eastAsia="en-AU"/>
                    </w:rPr>
                  </w:pPr>
                  <w:r w:rsidRPr="004E275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4E275C" w:rsidRPr="004E275C" w:rsidRDefault="004E275C" w:rsidP="004E275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Pr="004E275C" w:rsidRDefault="00655977" w:rsidP="004E275C">
      <w:pPr>
        <w:spacing w:before="100" w:beforeAutospacing="1" w:after="100" w:afterAutospacing="1" w:line="240" w:lineRule="auto"/>
        <w:rPr>
          <w:rFonts w:ascii="Arial" w:hAnsi="Arial" w:cs="Arial"/>
          <w:sz w:val="20"/>
          <w:szCs w:val="20"/>
        </w:rPr>
      </w:pPr>
      <w:bookmarkStart w:id="0" w:name="_GoBack"/>
      <w:bookmarkEnd w:id="0"/>
    </w:p>
    <w:sectPr w:rsidR="00655977" w:rsidRPr="004E275C" w:rsidSect="0052102A">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B7F" w:rsidRDefault="00173B7F" w:rsidP="0052102A">
      <w:pPr>
        <w:spacing w:after="0" w:line="240" w:lineRule="auto"/>
      </w:pPr>
      <w:r>
        <w:separator/>
      </w:r>
    </w:p>
  </w:endnote>
  <w:endnote w:type="continuationSeparator" w:id="0">
    <w:p w:rsidR="00173B7F" w:rsidRDefault="00173B7F" w:rsidP="0052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7C3" w:rsidRPr="00D733E8" w:rsidRDefault="004E77C3" w:rsidP="0058221F">
    <w:pPr>
      <w:pStyle w:val="Footer"/>
      <w:jc w:val="center"/>
      <w:rPr>
        <w:rFonts w:ascii="Arial" w:hAnsi="Arial" w:cs="Arial"/>
        <w:i/>
        <w:sz w:val="20"/>
        <w:szCs w:val="20"/>
      </w:rPr>
    </w:pPr>
    <w:r w:rsidRPr="002C7A6D">
      <w:rPr>
        <w:rFonts w:ascii="Arial" w:hAnsi="Arial" w:cs="Arial"/>
        <w:i/>
        <w:sz w:val="20"/>
        <w:szCs w:val="20"/>
      </w:rPr>
      <w:t>MBRC Planning Scheme</w:t>
    </w:r>
    <w:r>
      <w:rPr>
        <w:rFonts w:ascii="Arial" w:hAnsi="Arial" w:cs="Arial"/>
        <w:i/>
        <w:sz w:val="20"/>
        <w:szCs w:val="20"/>
      </w:rPr>
      <w:t xml:space="preserve"> Version </w:t>
    </w:r>
    <w:r w:rsidR="00BB5366">
      <w:rPr>
        <w:rFonts w:ascii="Arial" w:hAnsi="Arial" w:cs="Arial"/>
        <w:i/>
        <w:sz w:val="20"/>
        <w:szCs w:val="20"/>
      </w:rPr>
      <w:t>6</w:t>
    </w:r>
    <w:r w:rsidRPr="002C7A6D">
      <w:rPr>
        <w:rFonts w:ascii="Arial" w:hAnsi="Arial" w:cs="Arial"/>
        <w:i/>
        <w:sz w:val="20"/>
        <w:szCs w:val="20"/>
      </w:rPr>
      <w:t xml:space="preserve"> -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4</w:t>
    </w:r>
    <w:r w:rsidRPr="00286BAF">
      <w:rPr>
        <w:rFonts w:ascii="Arial" w:hAnsi="Arial" w:cs="Arial"/>
        <w:noProof/>
        <w:sz w:val="20"/>
        <w:szCs w:val="20"/>
      </w:rPr>
      <w:fldChar w:fldCharType="end"/>
    </w:r>
  </w:p>
  <w:p w:rsidR="004E77C3" w:rsidRDefault="004E77C3">
    <w:pPr>
      <w:pStyle w:val="Footer"/>
    </w:pPr>
  </w:p>
  <w:p w:rsidR="004E77C3" w:rsidRDefault="004E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B7F" w:rsidRDefault="00173B7F" w:rsidP="0052102A">
      <w:pPr>
        <w:spacing w:after="0" w:line="240" w:lineRule="auto"/>
      </w:pPr>
      <w:r>
        <w:separator/>
      </w:r>
    </w:p>
  </w:footnote>
  <w:footnote w:type="continuationSeparator" w:id="0">
    <w:p w:rsidR="00173B7F" w:rsidRDefault="00173B7F" w:rsidP="0052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F69"/>
    <w:multiLevelType w:val="multilevel"/>
    <w:tmpl w:val="E3B64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4224EA"/>
    <w:multiLevelType w:val="multilevel"/>
    <w:tmpl w:val="C0AE5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287671"/>
    <w:multiLevelType w:val="multilevel"/>
    <w:tmpl w:val="18443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D5A38C0"/>
    <w:multiLevelType w:val="multilevel"/>
    <w:tmpl w:val="95A0A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A30F94"/>
    <w:multiLevelType w:val="multilevel"/>
    <w:tmpl w:val="B0C61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566FA7"/>
    <w:multiLevelType w:val="multilevel"/>
    <w:tmpl w:val="5CB85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225ABE"/>
    <w:multiLevelType w:val="multilevel"/>
    <w:tmpl w:val="F716A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C678B6"/>
    <w:multiLevelType w:val="multilevel"/>
    <w:tmpl w:val="855CC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0F5947"/>
    <w:multiLevelType w:val="multilevel"/>
    <w:tmpl w:val="8AD693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ECB616B"/>
    <w:multiLevelType w:val="multilevel"/>
    <w:tmpl w:val="41A6F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F4221A7"/>
    <w:multiLevelType w:val="multilevel"/>
    <w:tmpl w:val="84D42A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F7F4B6E"/>
    <w:multiLevelType w:val="multilevel"/>
    <w:tmpl w:val="EA5A2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687648"/>
    <w:multiLevelType w:val="multilevel"/>
    <w:tmpl w:val="CD6AE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EA0FF6"/>
    <w:multiLevelType w:val="multilevel"/>
    <w:tmpl w:val="1F44E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C569B4"/>
    <w:multiLevelType w:val="multilevel"/>
    <w:tmpl w:val="EA3EF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BBD6F91"/>
    <w:multiLevelType w:val="multilevel"/>
    <w:tmpl w:val="DC064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7C6B6A"/>
    <w:multiLevelType w:val="multilevel"/>
    <w:tmpl w:val="23A49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8E0560"/>
    <w:multiLevelType w:val="multilevel"/>
    <w:tmpl w:val="BDDE5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7B0FD2"/>
    <w:multiLevelType w:val="multilevel"/>
    <w:tmpl w:val="1C0EA08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145B4A"/>
    <w:multiLevelType w:val="multilevel"/>
    <w:tmpl w:val="D2BE3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9905ADF"/>
    <w:multiLevelType w:val="multilevel"/>
    <w:tmpl w:val="C0BA1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A8C25F2"/>
    <w:multiLevelType w:val="multilevel"/>
    <w:tmpl w:val="DC6E12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C4001D"/>
    <w:multiLevelType w:val="multilevel"/>
    <w:tmpl w:val="ECE25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FA6FC1"/>
    <w:multiLevelType w:val="multilevel"/>
    <w:tmpl w:val="2ADA4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0618C9"/>
    <w:multiLevelType w:val="multilevel"/>
    <w:tmpl w:val="0C349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F91242"/>
    <w:multiLevelType w:val="multilevel"/>
    <w:tmpl w:val="21507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23770D"/>
    <w:multiLevelType w:val="multilevel"/>
    <w:tmpl w:val="F044E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E02055"/>
    <w:multiLevelType w:val="multilevel"/>
    <w:tmpl w:val="0F3CC0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DC5BD3"/>
    <w:multiLevelType w:val="multilevel"/>
    <w:tmpl w:val="F6A834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2D40CB6"/>
    <w:multiLevelType w:val="multilevel"/>
    <w:tmpl w:val="A2C625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7996D64"/>
    <w:multiLevelType w:val="multilevel"/>
    <w:tmpl w:val="CD306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849613E"/>
    <w:multiLevelType w:val="multilevel"/>
    <w:tmpl w:val="C5FCD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8BE5E58"/>
    <w:multiLevelType w:val="multilevel"/>
    <w:tmpl w:val="5CF0C0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4"/>
  </w:num>
  <w:num w:numId="3">
    <w:abstractNumId w:val="8"/>
  </w:num>
  <w:num w:numId="4">
    <w:abstractNumId w:val="1"/>
  </w:num>
  <w:num w:numId="5">
    <w:abstractNumId w:val="29"/>
  </w:num>
  <w:num w:numId="6">
    <w:abstractNumId w:val="25"/>
  </w:num>
  <w:num w:numId="7">
    <w:abstractNumId w:val="22"/>
  </w:num>
  <w:num w:numId="8">
    <w:abstractNumId w:val="19"/>
  </w:num>
  <w:num w:numId="9">
    <w:abstractNumId w:val="11"/>
  </w:num>
  <w:num w:numId="10">
    <w:abstractNumId w:val="10"/>
  </w:num>
  <w:num w:numId="11">
    <w:abstractNumId w:val="16"/>
  </w:num>
  <w:num w:numId="12">
    <w:abstractNumId w:val="14"/>
  </w:num>
  <w:num w:numId="13">
    <w:abstractNumId w:val="18"/>
  </w:num>
  <w:num w:numId="14">
    <w:abstractNumId w:val="23"/>
  </w:num>
  <w:num w:numId="15">
    <w:abstractNumId w:val="31"/>
  </w:num>
  <w:num w:numId="16">
    <w:abstractNumId w:val="32"/>
  </w:num>
  <w:num w:numId="17">
    <w:abstractNumId w:val="30"/>
  </w:num>
  <w:num w:numId="18">
    <w:abstractNumId w:val="17"/>
  </w:num>
  <w:num w:numId="19">
    <w:abstractNumId w:val="2"/>
  </w:num>
  <w:num w:numId="20">
    <w:abstractNumId w:val="0"/>
  </w:num>
  <w:num w:numId="21">
    <w:abstractNumId w:val="20"/>
  </w:num>
  <w:num w:numId="22">
    <w:abstractNumId w:val="26"/>
  </w:num>
  <w:num w:numId="23">
    <w:abstractNumId w:val="5"/>
  </w:num>
  <w:num w:numId="24">
    <w:abstractNumId w:val="3"/>
  </w:num>
  <w:num w:numId="25">
    <w:abstractNumId w:val="3"/>
  </w:num>
  <w:num w:numId="26">
    <w:abstractNumId w:val="7"/>
  </w:num>
  <w:num w:numId="27">
    <w:abstractNumId w:val="9"/>
  </w:num>
  <w:num w:numId="28">
    <w:abstractNumId w:val="28"/>
  </w:num>
  <w:num w:numId="29">
    <w:abstractNumId w:val="6"/>
  </w:num>
  <w:num w:numId="30">
    <w:abstractNumId w:val="15"/>
  </w:num>
  <w:num w:numId="31">
    <w:abstractNumId w:val="24"/>
  </w:num>
  <w:num w:numId="32">
    <w:abstractNumId w:val="12"/>
  </w:num>
  <w:num w:numId="33">
    <w:abstractNumId w:val="33"/>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2A"/>
    <w:rsid w:val="0015092F"/>
    <w:rsid w:val="00173B7F"/>
    <w:rsid w:val="004A7BB7"/>
    <w:rsid w:val="004E275C"/>
    <w:rsid w:val="004E77C3"/>
    <w:rsid w:val="004F43E3"/>
    <w:rsid w:val="0052102A"/>
    <w:rsid w:val="0058221F"/>
    <w:rsid w:val="005959F1"/>
    <w:rsid w:val="005A6B21"/>
    <w:rsid w:val="00655977"/>
    <w:rsid w:val="00735FB2"/>
    <w:rsid w:val="007758DB"/>
    <w:rsid w:val="007C4D9A"/>
    <w:rsid w:val="009C46FD"/>
    <w:rsid w:val="00B6426B"/>
    <w:rsid w:val="00BB5366"/>
    <w:rsid w:val="00C47DD9"/>
    <w:rsid w:val="00C7270E"/>
    <w:rsid w:val="00DC319E"/>
    <w:rsid w:val="00EE7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FAF1"/>
  <w15:docId w15:val="{F387C6D3-3817-470D-87F0-E7EDBF54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2A"/>
    <w:rPr>
      <w:rFonts w:ascii="Tahoma" w:hAnsi="Tahoma" w:cs="Tahoma"/>
      <w:sz w:val="16"/>
      <w:szCs w:val="16"/>
    </w:rPr>
  </w:style>
  <w:style w:type="paragraph" w:styleId="ListParagraph">
    <w:name w:val="List Paragraph"/>
    <w:basedOn w:val="Normal"/>
    <w:uiPriority w:val="34"/>
    <w:qFormat/>
    <w:rsid w:val="0052102A"/>
    <w:pPr>
      <w:ind w:left="720"/>
      <w:contextualSpacing/>
    </w:pPr>
    <w:rPr>
      <w:rFonts w:ascii="Arial" w:hAnsi="Arial"/>
    </w:rPr>
  </w:style>
  <w:style w:type="paragraph" w:styleId="Header">
    <w:name w:val="header"/>
    <w:basedOn w:val="Normal"/>
    <w:link w:val="HeaderChar"/>
    <w:uiPriority w:val="99"/>
    <w:unhideWhenUsed/>
    <w:rsid w:val="00521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2A"/>
  </w:style>
  <w:style w:type="paragraph" w:styleId="Footer">
    <w:name w:val="footer"/>
    <w:basedOn w:val="Normal"/>
    <w:link w:val="FooterChar"/>
    <w:uiPriority w:val="99"/>
    <w:unhideWhenUsed/>
    <w:rsid w:val="00521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2A"/>
  </w:style>
  <w:style w:type="paragraph" w:styleId="NormalWeb">
    <w:name w:val="Normal (Web)"/>
    <w:basedOn w:val="Normal"/>
    <w:uiPriority w:val="99"/>
    <w:semiHidden/>
    <w:unhideWhenUsed/>
    <w:rsid w:val="00EE7B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4249">
      <w:bodyDiv w:val="1"/>
      <w:marLeft w:val="0"/>
      <w:marRight w:val="0"/>
      <w:marTop w:val="0"/>
      <w:marBottom w:val="0"/>
      <w:divBdr>
        <w:top w:val="none" w:sz="0" w:space="0" w:color="auto"/>
        <w:left w:val="none" w:sz="0" w:space="0" w:color="auto"/>
        <w:bottom w:val="none" w:sz="0" w:space="0" w:color="auto"/>
        <w:right w:val="none" w:sz="0" w:space="0" w:color="auto"/>
      </w:divBdr>
    </w:div>
    <w:div w:id="72823440">
      <w:bodyDiv w:val="1"/>
      <w:marLeft w:val="0"/>
      <w:marRight w:val="0"/>
      <w:marTop w:val="0"/>
      <w:marBottom w:val="0"/>
      <w:divBdr>
        <w:top w:val="none" w:sz="0" w:space="0" w:color="auto"/>
        <w:left w:val="none" w:sz="0" w:space="0" w:color="auto"/>
        <w:bottom w:val="none" w:sz="0" w:space="0" w:color="auto"/>
        <w:right w:val="none" w:sz="0" w:space="0" w:color="auto"/>
      </w:divBdr>
      <w:divsChild>
        <w:div w:id="1976524613">
          <w:marLeft w:val="0"/>
          <w:marRight w:val="0"/>
          <w:marTop w:val="0"/>
          <w:marBottom w:val="0"/>
          <w:divBdr>
            <w:top w:val="none" w:sz="0" w:space="0" w:color="auto"/>
            <w:left w:val="none" w:sz="0" w:space="0" w:color="auto"/>
            <w:bottom w:val="none" w:sz="0" w:space="0" w:color="auto"/>
            <w:right w:val="none" w:sz="0" w:space="0" w:color="auto"/>
          </w:divBdr>
          <w:divsChild>
            <w:div w:id="1749107816">
              <w:marLeft w:val="0"/>
              <w:marRight w:val="0"/>
              <w:marTop w:val="150"/>
              <w:marBottom w:val="0"/>
              <w:divBdr>
                <w:top w:val="none" w:sz="0" w:space="0" w:color="auto"/>
                <w:left w:val="none" w:sz="0" w:space="0" w:color="auto"/>
                <w:bottom w:val="none" w:sz="0" w:space="0" w:color="auto"/>
                <w:right w:val="none" w:sz="0" w:space="0" w:color="auto"/>
              </w:divBdr>
              <w:divsChild>
                <w:div w:id="257562455">
                  <w:marLeft w:val="3300"/>
                  <w:marRight w:val="0"/>
                  <w:marTop w:val="0"/>
                  <w:marBottom w:val="0"/>
                  <w:divBdr>
                    <w:top w:val="none" w:sz="0" w:space="0" w:color="auto"/>
                    <w:left w:val="none" w:sz="0" w:space="0" w:color="auto"/>
                    <w:bottom w:val="none" w:sz="0" w:space="0" w:color="auto"/>
                    <w:right w:val="none" w:sz="0" w:space="0" w:color="auto"/>
                  </w:divBdr>
                  <w:divsChild>
                    <w:div w:id="154806892">
                      <w:marLeft w:val="0"/>
                      <w:marRight w:val="0"/>
                      <w:marTop w:val="0"/>
                      <w:marBottom w:val="0"/>
                      <w:divBdr>
                        <w:top w:val="single" w:sz="6" w:space="7" w:color="A8A8A8"/>
                        <w:left w:val="single" w:sz="2" w:space="14" w:color="A8A8A8"/>
                        <w:bottom w:val="single" w:sz="6" w:space="7" w:color="A8A8A8"/>
                        <w:right w:val="single" w:sz="2" w:space="14" w:color="A8A8A8"/>
                      </w:divBdr>
                      <w:divsChild>
                        <w:div w:id="1910070896">
                          <w:marLeft w:val="0"/>
                          <w:marRight w:val="0"/>
                          <w:marTop w:val="0"/>
                          <w:marBottom w:val="0"/>
                          <w:divBdr>
                            <w:top w:val="none" w:sz="0" w:space="0" w:color="auto"/>
                            <w:left w:val="none" w:sz="0" w:space="0" w:color="auto"/>
                            <w:bottom w:val="none" w:sz="0" w:space="0" w:color="auto"/>
                            <w:right w:val="none" w:sz="0" w:space="0" w:color="auto"/>
                          </w:divBdr>
                          <w:divsChild>
                            <w:div w:id="592595829">
                              <w:marLeft w:val="0"/>
                              <w:marRight w:val="0"/>
                              <w:marTop w:val="0"/>
                              <w:marBottom w:val="0"/>
                              <w:divBdr>
                                <w:top w:val="none" w:sz="0" w:space="0" w:color="auto"/>
                                <w:left w:val="none" w:sz="0" w:space="0" w:color="auto"/>
                                <w:bottom w:val="none" w:sz="0" w:space="0" w:color="auto"/>
                                <w:right w:val="none" w:sz="0" w:space="0" w:color="auto"/>
                              </w:divBdr>
                              <w:divsChild>
                                <w:div w:id="140656035">
                                  <w:marLeft w:val="0"/>
                                  <w:marRight w:val="0"/>
                                  <w:marTop w:val="0"/>
                                  <w:marBottom w:val="0"/>
                                  <w:divBdr>
                                    <w:top w:val="none" w:sz="0" w:space="0" w:color="auto"/>
                                    <w:left w:val="none" w:sz="0" w:space="0" w:color="auto"/>
                                    <w:bottom w:val="none" w:sz="0" w:space="0" w:color="auto"/>
                                    <w:right w:val="none" w:sz="0" w:space="0" w:color="auto"/>
                                  </w:divBdr>
                                  <w:divsChild>
                                    <w:div w:id="1721438429">
                                      <w:marLeft w:val="0"/>
                                      <w:marRight w:val="0"/>
                                      <w:marTop w:val="0"/>
                                      <w:marBottom w:val="0"/>
                                      <w:divBdr>
                                        <w:top w:val="none" w:sz="0" w:space="0" w:color="auto"/>
                                        <w:left w:val="none" w:sz="0" w:space="0" w:color="auto"/>
                                        <w:bottom w:val="none" w:sz="0" w:space="0" w:color="auto"/>
                                        <w:right w:val="none" w:sz="0" w:space="0" w:color="auto"/>
                                      </w:divBdr>
                                      <w:divsChild>
                                        <w:div w:id="1170875741">
                                          <w:marLeft w:val="0"/>
                                          <w:marRight w:val="0"/>
                                          <w:marTop w:val="0"/>
                                          <w:marBottom w:val="0"/>
                                          <w:divBdr>
                                            <w:top w:val="none" w:sz="0" w:space="0" w:color="auto"/>
                                            <w:left w:val="none" w:sz="0" w:space="0" w:color="auto"/>
                                            <w:bottom w:val="none" w:sz="0" w:space="0" w:color="auto"/>
                                            <w:right w:val="none" w:sz="0" w:space="0" w:color="auto"/>
                                          </w:divBdr>
                                          <w:divsChild>
                                            <w:div w:id="1517186301">
                                              <w:marLeft w:val="0"/>
                                              <w:marRight w:val="0"/>
                                              <w:marTop w:val="0"/>
                                              <w:marBottom w:val="0"/>
                                              <w:divBdr>
                                                <w:top w:val="none" w:sz="0" w:space="0" w:color="auto"/>
                                                <w:left w:val="none" w:sz="0" w:space="0" w:color="auto"/>
                                                <w:bottom w:val="none" w:sz="0" w:space="0" w:color="auto"/>
                                                <w:right w:val="none" w:sz="0" w:space="0" w:color="auto"/>
                                              </w:divBdr>
                                              <w:divsChild>
                                                <w:div w:id="506672777">
                                                  <w:marLeft w:val="0"/>
                                                  <w:marRight w:val="0"/>
                                                  <w:marTop w:val="0"/>
                                                  <w:marBottom w:val="0"/>
                                                  <w:divBdr>
                                                    <w:top w:val="none" w:sz="0" w:space="0" w:color="auto"/>
                                                    <w:left w:val="none" w:sz="0" w:space="0" w:color="auto"/>
                                                    <w:bottom w:val="none" w:sz="0" w:space="0" w:color="auto"/>
                                                    <w:right w:val="none" w:sz="0" w:space="0" w:color="auto"/>
                                                  </w:divBdr>
                                                  <w:divsChild>
                                                    <w:div w:id="1987277673">
                                                      <w:marLeft w:val="0"/>
                                                      <w:marRight w:val="0"/>
                                                      <w:marTop w:val="0"/>
                                                      <w:marBottom w:val="0"/>
                                                      <w:divBdr>
                                                        <w:top w:val="none" w:sz="0" w:space="0" w:color="auto"/>
                                                        <w:left w:val="none" w:sz="0" w:space="0" w:color="auto"/>
                                                        <w:bottom w:val="none" w:sz="0" w:space="0" w:color="auto"/>
                                                        <w:right w:val="none" w:sz="0" w:space="0" w:color="auto"/>
                                                      </w:divBdr>
                                                    </w:div>
                                                  </w:divsChild>
                                                </w:div>
                                                <w:div w:id="703795712">
                                                  <w:marLeft w:val="0"/>
                                                  <w:marRight w:val="0"/>
                                                  <w:marTop w:val="0"/>
                                                  <w:marBottom w:val="0"/>
                                                  <w:divBdr>
                                                    <w:top w:val="none" w:sz="0" w:space="0" w:color="auto"/>
                                                    <w:left w:val="none" w:sz="0" w:space="0" w:color="auto"/>
                                                    <w:bottom w:val="none" w:sz="0" w:space="0" w:color="auto"/>
                                                    <w:right w:val="none" w:sz="0" w:space="0" w:color="auto"/>
                                                  </w:divBdr>
                                                  <w:divsChild>
                                                    <w:div w:id="1823498144">
                                                      <w:marLeft w:val="0"/>
                                                      <w:marRight w:val="0"/>
                                                      <w:marTop w:val="0"/>
                                                      <w:marBottom w:val="0"/>
                                                      <w:divBdr>
                                                        <w:top w:val="none" w:sz="0" w:space="0" w:color="auto"/>
                                                        <w:left w:val="none" w:sz="0" w:space="0" w:color="auto"/>
                                                        <w:bottom w:val="none" w:sz="0" w:space="0" w:color="auto"/>
                                                        <w:right w:val="none" w:sz="0" w:space="0" w:color="auto"/>
                                                      </w:divBdr>
                                                    </w:div>
                                                  </w:divsChild>
                                                </w:div>
                                                <w:div w:id="769814897">
                                                  <w:marLeft w:val="0"/>
                                                  <w:marRight w:val="0"/>
                                                  <w:marTop w:val="0"/>
                                                  <w:marBottom w:val="0"/>
                                                  <w:divBdr>
                                                    <w:top w:val="none" w:sz="0" w:space="0" w:color="auto"/>
                                                    <w:left w:val="none" w:sz="0" w:space="0" w:color="auto"/>
                                                    <w:bottom w:val="none" w:sz="0" w:space="0" w:color="auto"/>
                                                    <w:right w:val="none" w:sz="0" w:space="0" w:color="auto"/>
                                                  </w:divBdr>
                                                  <w:divsChild>
                                                    <w:div w:id="306277004">
                                                      <w:marLeft w:val="0"/>
                                                      <w:marRight w:val="0"/>
                                                      <w:marTop w:val="0"/>
                                                      <w:marBottom w:val="0"/>
                                                      <w:divBdr>
                                                        <w:top w:val="none" w:sz="0" w:space="0" w:color="auto"/>
                                                        <w:left w:val="none" w:sz="0" w:space="0" w:color="auto"/>
                                                        <w:bottom w:val="none" w:sz="0" w:space="0" w:color="auto"/>
                                                        <w:right w:val="none" w:sz="0" w:space="0" w:color="auto"/>
                                                      </w:divBdr>
                                                    </w:div>
                                                  </w:divsChild>
                                                </w:div>
                                                <w:div w:id="2119985382">
                                                  <w:marLeft w:val="0"/>
                                                  <w:marRight w:val="0"/>
                                                  <w:marTop w:val="0"/>
                                                  <w:marBottom w:val="0"/>
                                                  <w:divBdr>
                                                    <w:top w:val="none" w:sz="0" w:space="0" w:color="auto"/>
                                                    <w:left w:val="none" w:sz="0" w:space="0" w:color="auto"/>
                                                    <w:bottom w:val="none" w:sz="0" w:space="0" w:color="auto"/>
                                                    <w:right w:val="none" w:sz="0" w:space="0" w:color="auto"/>
                                                  </w:divBdr>
                                                  <w:divsChild>
                                                    <w:div w:id="931931555">
                                                      <w:marLeft w:val="0"/>
                                                      <w:marRight w:val="0"/>
                                                      <w:marTop w:val="0"/>
                                                      <w:marBottom w:val="0"/>
                                                      <w:divBdr>
                                                        <w:top w:val="none" w:sz="0" w:space="0" w:color="auto"/>
                                                        <w:left w:val="none" w:sz="0" w:space="0" w:color="auto"/>
                                                        <w:bottom w:val="none" w:sz="0" w:space="0" w:color="auto"/>
                                                        <w:right w:val="none" w:sz="0" w:space="0" w:color="auto"/>
                                                      </w:divBdr>
                                                    </w:div>
                                                  </w:divsChild>
                                                </w:div>
                                                <w:div w:id="2047023802">
                                                  <w:marLeft w:val="0"/>
                                                  <w:marRight w:val="0"/>
                                                  <w:marTop w:val="0"/>
                                                  <w:marBottom w:val="0"/>
                                                  <w:divBdr>
                                                    <w:top w:val="none" w:sz="0" w:space="0" w:color="auto"/>
                                                    <w:left w:val="none" w:sz="0" w:space="0" w:color="auto"/>
                                                    <w:bottom w:val="none" w:sz="0" w:space="0" w:color="auto"/>
                                                    <w:right w:val="none" w:sz="0" w:space="0" w:color="auto"/>
                                                  </w:divBdr>
                                                  <w:divsChild>
                                                    <w:div w:id="1544750854">
                                                      <w:marLeft w:val="0"/>
                                                      <w:marRight w:val="0"/>
                                                      <w:marTop w:val="0"/>
                                                      <w:marBottom w:val="0"/>
                                                      <w:divBdr>
                                                        <w:top w:val="none" w:sz="0" w:space="0" w:color="auto"/>
                                                        <w:left w:val="none" w:sz="0" w:space="0" w:color="auto"/>
                                                        <w:bottom w:val="none" w:sz="0" w:space="0" w:color="auto"/>
                                                        <w:right w:val="none" w:sz="0" w:space="0" w:color="auto"/>
                                                      </w:divBdr>
                                                    </w:div>
                                                  </w:divsChild>
                                                </w:div>
                                                <w:div w:id="1989287209">
                                                  <w:marLeft w:val="0"/>
                                                  <w:marRight w:val="0"/>
                                                  <w:marTop w:val="0"/>
                                                  <w:marBottom w:val="0"/>
                                                  <w:divBdr>
                                                    <w:top w:val="none" w:sz="0" w:space="0" w:color="auto"/>
                                                    <w:left w:val="none" w:sz="0" w:space="0" w:color="auto"/>
                                                    <w:bottom w:val="none" w:sz="0" w:space="0" w:color="auto"/>
                                                    <w:right w:val="none" w:sz="0" w:space="0" w:color="auto"/>
                                                  </w:divBdr>
                                                  <w:divsChild>
                                                    <w:div w:id="1651786259">
                                                      <w:marLeft w:val="0"/>
                                                      <w:marRight w:val="0"/>
                                                      <w:marTop w:val="0"/>
                                                      <w:marBottom w:val="0"/>
                                                      <w:divBdr>
                                                        <w:top w:val="none" w:sz="0" w:space="0" w:color="auto"/>
                                                        <w:left w:val="none" w:sz="0" w:space="0" w:color="auto"/>
                                                        <w:bottom w:val="none" w:sz="0" w:space="0" w:color="auto"/>
                                                        <w:right w:val="none" w:sz="0" w:space="0" w:color="auto"/>
                                                      </w:divBdr>
                                                    </w:div>
                                                  </w:divsChild>
                                                </w:div>
                                                <w:div w:id="789668414">
                                                  <w:marLeft w:val="0"/>
                                                  <w:marRight w:val="0"/>
                                                  <w:marTop w:val="0"/>
                                                  <w:marBottom w:val="0"/>
                                                  <w:divBdr>
                                                    <w:top w:val="none" w:sz="0" w:space="0" w:color="auto"/>
                                                    <w:left w:val="none" w:sz="0" w:space="0" w:color="auto"/>
                                                    <w:bottom w:val="none" w:sz="0" w:space="0" w:color="auto"/>
                                                    <w:right w:val="none" w:sz="0" w:space="0" w:color="auto"/>
                                                  </w:divBdr>
                                                  <w:divsChild>
                                                    <w:div w:id="1336152196">
                                                      <w:marLeft w:val="0"/>
                                                      <w:marRight w:val="0"/>
                                                      <w:marTop w:val="45"/>
                                                      <w:marBottom w:val="45"/>
                                                      <w:divBdr>
                                                        <w:top w:val="none" w:sz="0" w:space="0" w:color="auto"/>
                                                        <w:left w:val="none" w:sz="0" w:space="0" w:color="auto"/>
                                                        <w:bottom w:val="none" w:sz="0" w:space="0" w:color="auto"/>
                                                        <w:right w:val="none" w:sz="0" w:space="0" w:color="auto"/>
                                                      </w:divBdr>
                                                    </w:div>
                                                  </w:divsChild>
                                                </w:div>
                                                <w:div w:id="993948599">
                                                  <w:marLeft w:val="0"/>
                                                  <w:marRight w:val="0"/>
                                                  <w:marTop w:val="0"/>
                                                  <w:marBottom w:val="0"/>
                                                  <w:divBdr>
                                                    <w:top w:val="none" w:sz="0" w:space="0" w:color="auto"/>
                                                    <w:left w:val="none" w:sz="0" w:space="0" w:color="auto"/>
                                                    <w:bottom w:val="none" w:sz="0" w:space="0" w:color="auto"/>
                                                    <w:right w:val="none" w:sz="0" w:space="0" w:color="auto"/>
                                                  </w:divBdr>
                                                  <w:divsChild>
                                                    <w:div w:id="963998012">
                                                      <w:marLeft w:val="0"/>
                                                      <w:marRight w:val="0"/>
                                                      <w:marTop w:val="0"/>
                                                      <w:marBottom w:val="0"/>
                                                      <w:divBdr>
                                                        <w:top w:val="none" w:sz="0" w:space="0" w:color="auto"/>
                                                        <w:left w:val="none" w:sz="0" w:space="0" w:color="auto"/>
                                                        <w:bottom w:val="none" w:sz="0" w:space="0" w:color="auto"/>
                                                        <w:right w:val="none" w:sz="0" w:space="0" w:color="auto"/>
                                                      </w:divBdr>
                                                    </w:div>
                                                  </w:divsChild>
                                                </w:div>
                                                <w:div w:id="1985307757">
                                                  <w:marLeft w:val="0"/>
                                                  <w:marRight w:val="0"/>
                                                  <w:marTop w:val="0"/>
                                                  <w:marBottom w:val="0"/>
                                                  <w:divBdr>
                                                    <w:top w:val="none" w:sz="0" w:space="0" w:color="auto"/>
                                                    <w:left w:val="none" w:sz="0" w:space="0" w:color="auto"/>
                                                    <w:bottom w:val="none" w:sz="0" w:space="0" w:color="auto"/>
                                                    <w:right w:val="none" w:sz="0" w:space="0" w:color="auto"/>
                                                  </w:divBdr>
                                                  <w:divsChild>
                                                    <w:div w:id="1681738246">
                                                      <w:marLeft w:val="0"/>
                                                      <w:marRight w:val="0"/>
                                                      <w:marTop w:val="0"/>
                                                      <w:marBottom w:val="0"/>
                                                      <w:divBdr>
                                                        <w:top w:val="none" w:sz="0" w:space="0" w:color="auto"/>
                                                        <w:left w:val="none" w:sz="0" w:space="0" w:color="auto"/>
                                                        <w:bottom w:val="none" w:sz="0" w:space="0" w:color="auto"/>
                                                        <w:right w:val="none" w:sz="0" w:space="0" w:color="auto"/>
                                                      </w:divBdr>
                                                    </w:div>
                                                  </w:divsChild>
                                                </w:div>
                                                <w:div w:id="820773654">
                                                  <w:marLeft w:val="0"/>
                                                  <w:marRight w:val="0"/>
                                                  <w:marTop w:val="0"/>
                                                  <w:marBottom w:val="0"/>
                                                  <w:divBdr>
                                                    <w:top w:val="none" w:sz="0" w:space="0" w:color="auto"/>
                                                    <w:left w:val="none" w:sz="0" w:space="0" w:color="auto"/>
                                                    <w:bottom w:val="none" w:sz="0" w:space="0" w:color="auto"/>
                                                    <w:right w:val="none" w:sz="0" w:space="0" w:color="auto"/>
                                                  </w:divBdr>
                                                  <w:divsChild>
                                                    <w:div w:id="1598751001">
                                                      <w:marLeft w:val="0"/>
                                                      <w:marRight w:val="0"/>
                                                      <w:marTop w:val="0"/>
                                                      <w:marBottom w:val="0"/>
                                                      <w:divBdr>
                                                        <w:top w:val="none" w:sz="0" w:space="0" w:color="auto"/>
                                                        <w:left w:val="none" w:sz="0" w:space="0" w:color="auto"/>
                                                        <w:bottom w:val="none" w:sz="0" w:space="0" w:color="auto"/>
                                                        <w:right w:val="none" w:sz="0" w:space="0" w:color="auto"/>
                                                      </w:divBdr>
                                                    </w:div>
                                                  </w:divsChild>
                                                </w:div>
                                                <w:div w:id="1732654572">
                                                  <w:marLeft w:val="0"/>
                                                  <w:marRight w:val="0"/>
                                                  <w:marTop w:val="0"/>
                                                  <w:marBottom w:val="0"/>
                                                  <w:divBdr>
                                                    <w:top w:val="none" w:sz="0" w:space="0" w:color="auto"/>
                                                    <w:left w:val="none" w:sz="0" w:space="0" w:color="auto"/>
                                                    <w:bottom w:val="none" w:sz="0" w:space="0" w:color="auto"/>
                                                    <w:right w:val="none" w:sz="0" w:space="0" w:color="auto"/>
                                                  </w:divBdr>
                                                  <w:divsChild>
                                                    <w:div w:id="1573659967">
                                                      <w:marLeft w:val="0"/>
                                                      <w:marRight w:val="0"/>
                                                      <w:marTop w:val="0"/>
                                                      <w:marBottom w:val="0"/>
                                                      <w:divBdr>
                                                        <w:top w:val="none" w:sz="0" w:space="0" w:color="auto"/>
                                                        <w:left w:val="none" w:sz="0" w:space="0" w:color="auto"/>
                                                        <w:bottom w:val="none" w:sz="0" w:space="0" w:color="auto"/>
                                                        <w:right w:val="none" w:sz="0" w:space="0" w:color="auto"/>
                                                      </w:divBdr>
                                                    </w:div>
                                                  </w:divsChild>
                                                </w:div>
                                                <w:div w:id="413474965">
                                                  <w:marLeft w:val="0"/>
                                                  <w:marRight w:val="0"/>
                                                  <w:marTop w:val="0"/>
                                                  <w:marBottom w:val="0"/>
                                                  <w:divBdr>
                                                    <w:top w:val="none" w:sz="0" w:space="0" w:color="auto"/>
                                                    <w:left w:val="none" w:sz="0" w:space="0" w:color="auto"/>
                                                    <w:bottom w:val="none" w:sz="0" w:space="0" w:color="auto"/>
                                                    <w:right w:val="none" w:sz="0" w:space="0" w:color="auto"/>
                                                  </w:divBdr>
                                                  <w:divsChild>
                                                    <w:div w:id="1218931597">
                                                      <w:marLeft w:val="0"/>
                                                      <w:marRight w:val="0"/>
                                                      <w:marTop w:val="0"/>
                                                      <w:marBottom w:val="0"/>
                                                      <w:divBdr>
                                                        <w:top w:val="none" w:sz="0" w:space="0" w:color="auto"/>
                                                        <w:left w:val="none" w:sz="0" w:space="0" w:color="auto"/>
                                                        <w:bottom w:val="none" w:sz="0" w:space="0" w:color="auto"/>
                                                        <w:right w:val="none" w:sz="0" w:space="0" w:color="auto"/>
                                                      </w:divBdr>
                                                    </w:div>
                                                  </w:divsChild>
                                                </w:div>
                                                <w:div w:id="1135026213">
                                                  <w:marLeft w:val="0"/>
                                                  <w:marRight w:val="0"/>
                                                  <w:marTop w:val="0"/>
                                                  <w:marBottom w:val="0"/>
                                                  <w:divBdr>
                                                    <w:top w:val="none" w:sz="0" w:space="0" w:color="auto"/>
                                                    <w:left w:val="none" w:sz="0" w:space="0" w:color="auto"/>
                                                    <w:bottom w:val="none" w:sz="0" w:space="0" w:color="auto"/>
                                                    <w:right w:val="none" w:sz="0" w:space="0" w:color="auto"/>
                                                  </w:divBdr>
                                                  <w:divsChild>
                                                    <w:div w:id="1159228665">
                                                      <w:marLeft w:val="0"/>
                                                      <w:marRight w:val="0"/>
                                                      <w:marTop w:val="0"/>
                                                      <w:marBottom w:val="0"/>
                                                      <w:divBdr>
                                                        <w:top w:val="none" w:sz="0" w:space="0" w:color="auto"/>
                                                        <w:left w:val="none" w:sz="0" w:space="0" w:color="auto"/>
                                                        <w:bottom w:val="none" w:sz="0" w:space="0" w:color="auto"/>
                                                        <w:right w:val="none" w:sz="0" w:space="0" w:color="auto"/>
                                                      </w:divBdr>
                                                    </w:div>
                                                  </w:divsChild>
                                                </w:div>
                                                <w:div w:id="1829203342">
                                                  <w:marLeft w:val="0"/>
                                                  <w:marRight w:val="0"/>
                                                  <w:marTop w:val="0"/>
                                                  <w:marBottom w:val="0"/>
                                                  <w:divBdr>
                                                    <w:top w:val="none" w:sz="0" w:space="0" w:color="auto"/>
                                                    <w:left w:val="none" w:sz="0" w:space="0" w:color="auto"/>
                                                    <w:bottom w:val="none" w:sz="0" w:space="0" w:color="auto"/>
                                                    <w:right w:val="none" w:sz="0" w:space="0" w:color="auto"/>
                                                  </w:divBdr>
                                                  <w:divsChild>
                                                    <w:div w:id="995762795">
                                                      <w:marLeft w:val="0"/>
                                                      <w:marRight w:val="0"/>
                                                      <w:marTop w:val="0"/>
                                                      <w:marBottom w:val="0"/>
                                                      <w:divBdr>
                                                        <w:top w:val="none" w:sz="0" w:space="0" w:color="auto"/>
                                                        <w:left w:val="none" w:sz="0" w:space="0" w:color="auto"/>
                                                        <w:bottom w:val="none" w:sz="0" w:space="0" w:color="auto"/>
                                                        <w:right w:val="none" w:sz="0" w:space="0" w:color="auto"/>
                                                      </w:divBdr>
                                                    </w:div>
                                                  </w:divsChild>
                                                </w:div>
                                                <w:div w:id="529953366">
                                                  <w:marLeft w:val="0"/>
                                                  <w:marRight w:val="0"/>
                                                  <w:marTop w:val="0"/>
                                                  <w:marBottom w:val="0"/>
                                                  <w:divBdr>
                                                    <w:top w:val="none" w:sz="0" w:space="0" w:color="auto"/>
                                                    <w:left w:val="none" w:sz="0" w:space="0" w:color="auto"/>
                                                    <w:bottom w:val="none" w:sz="0" w:space="0" w:color="auto"/>
                                                    <w:right w:val="none" w:sz="0" w:space="0" w:color="auto"/>
                                                  </w:divBdr>
                                                  <w:divsChild>
                                                    <w:div w:id="1795907084">
                                                      <w:marLeft w:val="0"/>
                                                      <w:marRight w:val="0"/>
                                                      <w:marTop w:val="0"/>
                                                      <w:marBottom w:val="0"/>
                                                      <w:divBdr>
                                                        <w:top w:val="none" w:sz="0" w:space="0" w:color="auto"/>
                                                        <w:left w:val="none" w:sz="0" w:space="0" w:color="auto"/>
                                                        <w:bottom w:val="none" w:sz="0" w:space="0" w:color="auto"/>
                                                        <w:right w:val="none" w:sz="0" w:space="0" w:color="auto"/>
                                                      </w:divBdr>
                                                    </w:div>
                                                  </w:divsChild>
                                                </w:div>
                                                <w:div w:id="4864444">
                                                  <w:marLeft w:val="0"/>
                                                  <w:marRight w:val="0"/>
                                                  <w:marTop w:val="0"/>
                                                  <w:marBottom w:val="0"/>
                                                  <w:divBdr>
                                                    <w:top w:val="none" w:sz="0" w:space="0" w:color="auto"/>
                                                    <w:left w:val="none" w:sz="0" w:space="0" w:color="auto"/>
                                                    <w:bottom w:val="none" w:sz="0" w:space="0" w:color="auto"/>
                                                    <w:right w:val="none" w:sz="0" w:space="0" w:color="auto"/>
                                                  </w:divBdr>
                                                  <w:divsChild>
                                                    <w:div w:id="1499734639">
                                                      <w:marLeft w:val="0"/>
                                                      <w:marRight w:val="0"/>
                                                      <w:marTop w:val="0"/>
                                                      <w:marBottom w:val="0"/>
                                                      <w:divBdr>
                                                        <w:top w:val="none" w:sz="0" w:space="0" w:color="auto"/>
                                                        <w:left w:val="none" w:sz="0" w:space="0" w:color="auto"/>
                                                        <w:bottom w:val="none" w:sz="0" w:space="0" w:color="auto"/>
                                                        <w:right w:val="none" w:sz="0" w:space="0" w:color="auto"/>
                                                      </w:divBdr>
                                                    </w:div>
                                                  </w:divsChild>
                                                </w:div>
                                                <w:div w:id="798693887">
                                                  <w:marLeft w:val="0"/>
                                                  <w:marRight w:val="0"/>
                                                  <w:marTop w:val="0"/>
                                                  <w:marBottom w:val="0"/>
                                                  <w:divBdr>
                                                    <w:top w:val="none" w:sz="0" w:space="0" w:color="auto"/>
                                                    <w:left w:val="none" w:sz="0" w:space="0" w:color="auto"/>
                                                    <w:bottom w:val="none" w:sz="0" w:space="0" w:color="auto"/>
                                                    <w:right w:val="none" w:sz="0" w:space="0" w:color="auto"/>
                                                  </w:divBdr>
                                                  <w:divsChild>
                                                    <w:div w:id="1404377685">
                                                      <w:marLeft w:val="0"/>
                                                      <w:marRight w:val="0"/>
                                                      <w:marTop w:val="0"/>
                                                      <w:marBottom w:val="0"/>
                                                      <w:divBdr>
                                                        <w:top w:val="none" w:sz="0" w:space="0" w:color="auto"/>
                                                        <w:left w:val="none" w:sz="0" w:space="0" w:color="auto"/>
                                                        <w:bottom w:val="none" w:sz="0" w:space="0" w:color="auto"/>
                                                        <w:right w:val="none" w:sz="0" w:space="0" w:color="auto"/>
                                                      </w:divBdr>
                                                    </w:div>
                                                  </w:divsChild>
                                                </w:div>
                                                <w:div w:id="1564178785">
                                                  <w:marLeft w:val="0"/>
                                                  <w:marRight w:val="0"/>
                                                  <w:marTop w:val="0"/>
                                                  <w:marBottom w:val="0"/>
                                                  <w:divBdr>
                                                    <w:top w:val="none" w:sz="0" w:space="0" w:color="auto"/>
                                                    <w:left w:val="none" w:sz="0" w:space="0" w:color="auto"/>
                                                    <w:bottom w:val="none" w:sz="0" w:space="0" w:color="auto"/>
                                                    <w:right w:val="none" w:sz="0" w:space="0" w:color="auto"/>
                                                  </w:divBdr>
                                                  <w:divsChild>
                                                    <w:div w:id="520096731">
                                                      <w:marLeft w:val="0"/>
                                                      <w:marRight w:val="0"/>
                                                      <w:marTop w:val="0"/>
                                                      <w:marBottom w:val="0"/>
                                                      <w:divBdr>
                                                        <w:top w:val="none" w:sz="0" w:space="0" w:color="auto"/>
                                                        <w:left w:val="none" w:sz="0" w:space="0" w:color="auto"/>
                                                        <w:bottom w:val="none" w:sz="0" w:space="0" w:color="auto"/>
                                                        <w:right w:val="none" w:sz="0" w:space="0" w:color="auto"/>
                                                      </w:divBdr>
                                                    </w:div>
                                                  </w:divsChild>
                                                </w:div>
                                                <w:div w:id="477456578">
                                                  <w:marLeft w:val="0"/>
                                                  <w:marRight w:val="0"/>
                                                  <w:marTop w:val="0"/>
                                                  <w:marBottom w:val="0"/>
                                                  <w:divBdr>
                                                    <w:top w:val="none" w:sz="0" w:space="0" w:color="auto"/>
                                                    <w:left w:val="none" w:sz="0" w:space="0" w:color="auto"/>
                                                    <w:bottom w:val="none" w:sz="0" w:space="0" w:color="auto"/>
                                                    <w:right w:val="none" w:sz="0" w:space="0" w:color="auto"/>
                                                  </w:divBdr>
                                                  <w:divsChild>
                                                    <w:div w:id="1215577880">
                                                      <w:marLeft w:val="0"/>
                                                      <w:marRight w:val="0"/>
                                                      <w:marTop w:val="0"/>
                                                      <w:marBottom w:val="0"/>
                                                      <w:divBdr>
                                                        <w:top w:val="none" w:sz="0" w:space="0" w:color="auto"/>
                                                        <w:left w:val="none" w:sz="0" w:space="0" w:color="auto"/>
                                                        <w:bottom w:val="none" w:sz="0" w:space="0" w:color="auto"/>
                                                        <w:right w:val="none" w:sz="0" w:space="0" w:color="auto"/>
                                                      </w:divBdr>
                                                    </w:div>
                                                  </w:divsChild>
                                                </w:div>
                                                <w:div w:id="1162700745">
                                                  <w:marLeft w:val="0"/>
                                                  <w:marRight w:val="0"/>
                                                  <w:marTop w:val="0"/>
                                                  <w:marBottom w:val="0"/>
                                                  <w:divBdr>
                                                    <w:top w:val="none" w:sz="0" w:space="0" w:color="auto"/>
                                                    <w:left w:val="none" w:sz="0" w:space="0" w:color="auto"/>
                                                    <w:bottom w:val="none" w:sz="0" w:space="0" w:color="auto"/>
                                                    <w:right w:val="none" w:sz="0" w:space="0" w:color="auto"/>
                                                  </w:divBdr>
                                                  <w:divsChild>
                                                    <w:div w:id="1358389650">
                                                      <w:marLeft w:val="0"/>
                                                      <w:marRight w:val="0"/>
                                                      <w:marTop w:val="0"/>
                                                      <w:marBottom w:val="0"/>
                                                      <w:divBdr>
                                                        <w:top w:val="none" w:sz="0" w:space="0" w:color="auto"/>
                                                        <w:left w:val="none" w:sz="0" w:space="0" w:color="auto"/>
                                                        <w:bottom w:val="none" w:sz="0" w:space="0" w:color="auto"/>
                                                        <w:right w:val="none" w:sz="0" w:space="0" w:color="auto"/>
                                                      </w:divBdr>
                                                    </w:div>
                                                  </w:divsChild>
                                                </w:div>
                                                <w:div w:id="1727025587">
                                                  <w:marLeft w:val="0"/>
                                                  <w:marRight w:val="0"/>
                                                  <w:marTop w:val="0"/>
                                                  <w:marBottom w:val="0"/>
                                                  <w:divBdr>
                                                    <w:top w:val="none" w:sz="0" w:space="0" w:color="auto"/>
                                                    <w:left w:val="none" w:sz="0" w:space="0" w:color="auto"/>
                                                    <w:bottom w:val="none" w:sz="0" w:space="0" w:color="auto"/>
                                                    <w:right w:val="none" w:sz="0" w:space="0" w:color="auto"/>
                                                  </w:divBdr>
                                                  <w:divsChild>
                                                    <w:div w:id="1321498195">
                                                      <w:marLeft w:val="0"/>
                                                      <w:marRight w:val="0"/>
                                                      <w:marTop w:val="0"/>
                                                      <w:marBottom w:val="0"/>
                                                      <w:divBdr>
                                                        <w:top w:val="none" w:sz="0" w:space="0" w:color="auto"/>
                                                        <w:left w:val="none" w:sz="0" w:space="0" w:color="auto"/>
                                                        <w:bottom w:val="none" w:sz="0" w:space="0" w:color="auto"/>
                                                        <w:right w:val="none" w:sz="0" w:space="0" w:color="auto"/>
                                                      </w:divBdr>
                                                    </w:div>
                                                  </w:divsChild>
                                                </w:div>
                                                <w:div w:id="1158687587">
                                                  <w:marLeft w:val="0"/>
                                                  <w:marRight w:val="0"/>
                                                  <w:marTop w:val="0"/>
                                                  <w:marBottom w:val="0"/>
                                                  <w:divBdr>
                                                    <w:top w:val="none" w:sz="0" w:space="0" w:color="auto"/>
                                                    <w:left w:val="none" w:sz="0" w:space="0" w:color="auto"/>
                                                    <w:bottom w:val="none" w:sz="0" w:space="0" w:color="auto"/>
                                                    <w:right w:val="none" w:sz="0" w:space="0" w:color="auto"/>
                                                  </w:divBdr>
                                                  <w:divsChild>
                                                    <w:div w:id="248127415">
                                                      <w:marLeft w:val="0"/>
                                                      <w:marRight w:val="0"/>
                                                      <w:marTop w:val="0"/>
                                                      <w:marBottom w:val="0"/>
                                                      <w:divBdr>
                                                        <w:top w:val="none" w:sz="0" w:space="0" w:color="auto"/>
                                                        <w:left w:val="none" w:sz="0" w:space="0" w:color="auto"/>
                                                        <w:bottom w:val="none" w:sz="0" w:space="0" w:color="auto"/>
                                                        <w:right w:val="none" w:sz="0" w:space="0" w:color="auto"/>
                                                      </w:divBdr>
                                                    </w:div>
                                                  </w:divsChild>
                                                </w:div>
                                                <w:div w:id="1689137893">
                                                  <w:marLeft w:val="0"/>
                                                  <w:marRight w:val="0"/>
                                                  <w:marTop w:val="0"/>
                                                  <w:marBottom w:val="0"/>
                                                  <w:divBdr>
                                                    <w:top w:val="none" w:sz="0" w:space="0" w:color="auto"/>
                                                    <w:left w:val="none" w:sz="0" w:space="0" w:color="auto"/>
                                                    <w:bottom w:val="none" w:sz="0" w:space="0" w:color="auto"/>
                                                    <w:right w:val="none" w:sz="0" w:space="0" w:color="auto"/>
                                                  </w:divBdr>
                                                  <w:divsChild>
                                                    <w:div w:id="1500971718">
                                                      <w:marLeft w:val="0"/>
                                                      <w:marRight w:val="0"/>
                                                      <w:marTop w:val="0"/>
                                                      <w:marBottom w:val="0"/>
                                                      <w:divBdr>
                                                        <w:top w:val="none" w:sz="0" w:space="0" w:color="auto"/>
                                                        <w:left w:val="none" w:sz="0" w:space="0" w:color="auto"/>
                                                        <w:bottom w:val="none" w:sz="0" w:space="0" w:color="auto"/>
                                                        <w:right w:val="none" w:sz="0" w:space="0" w:color="auto"/>
                                                      </w:divBdr>
                                                    </w:div>
                                                  </w:divsChild>
                                                </w:div>
                                                <w:div w:id="717895509">
                                                  <w:marLeft w:val="0"/>
                                                  <w:marRight w:val="0"/>
                                                  <w:marTop w:val="0"/>
                                                  <w:marBottom w:val="0"/>
                                                  <w:divBdr>
                                                    <w:top w:val="none" w:sz="0" w:space="0" w:color="auto"/>
                                                    <w:left w:val="none" w:sz="0" w:space="0" w:color="auto"/>
                                                    <w:bottom w:val="none" w:sz="0" w:space="0" w:color="auto"/>
                                                    <w:right w:val="none" w:sz="0" w:space="0" w:color="auto"/>
                                                  </w:divBdr>
                                                  <w:divsChild>
                                                    <w:div w:id="1354964825">
                                                      <w:marLeft w:val="0"/>
                                                      <w:marRight w:val="0"/>
                                                      <w:marTop w:val="0"/>
                                                      <w:marBottom w:val="0"/>
                                                      <w:divBdr>
                                                        <w:top w:val="none" w:sz="0" w:space="0" w:color="auto"/>
                                                        <w:left w:val="none" w:sz="0" w:space="0" w:color="auto"/>
                                                        <w:bottom w:val="none" w:sz="0" w:space="0" w:color="auto"/>
                                                        <w:right w:val="none" w:sz="0" w:space="0" w:color="auto"/>
                                                      </w:divBdr>
                                                    </w:div>
                                                  </w:divsChild>
                                                </w:div>
                                                <w:div w:id="1443257323">
                                                  <w:marLeft w:val="0"/>
                                                  <w:marRight w:val="0"/>
                                                  <w:marTop w:val="0"/>
                                                  <w:marBottom w:val="0"/>
                                                  <w:divBdr>
                                                    <w:top w:val="none" w:sz="0" w:space="0" w:color="auto"/>
                                                    <w:left w:val="none" w:sz="0" w:space="0" w:color="auto"/>
                                                    <w:bottom w:val="none" w:sz="0" w:space="0" w:color="auto"/>
                                                    <w:right w:val="none" w:sz="0" w:space="0" w:color="auto"/>
                                                  </w:divBdr>
                                                  <w:divsChild>
                                                    <w:div w:id="1891960918">
                                                      <w:marLeft w:val="0"/>
                                                      <w:marRight w:val="0"/>
                                                      <w:marTop w:val="0"/>
                                                      <w:marBottom w:val="0"/>
                                                      <w:divBdr>
                                                        <w:top w:val="none" w:sz="0" w:space="0" w:color="auto"/>
                                                        <w:left w:val="none" w:sz="0" w:space="0" w:color="auto"/>
                                                        <w:bottom w:val="none" w:sz="0" w:space="0" w:color="auto"/>
                                                        <w:right w:val="none" w:sz="0" w:space="0" w:color="auto"/>
                                                      </w:divBdr>
                                                    </w:div>
                                                  </w:divsChild>
                                                </w:div>
                                                <w:div w:id="1414475715">
                                                  <w:marLeft w:val="0"/>
                                                  <w:marRight w:val="0"/>
                                                  <w:marTop w:val="0"/>
                                                  <w:marBottom w:val="0"/>
                                                  <w:divBdr>
                                                    <w:top w:val="none" w:sz="0" w:space="0" w:color="auto"/>
                                                    <w:left w:val="none" w:sz="0" w:space="0" w:color="auto"/>
                                                    <w:bottom w:val="none" w:sz="0" w:space="0" w:color="auto"/>
                                                    <w:right w:val="none" w:sz="0" w:space="0" w:color="auto"/>
                                                  </w:divBdr>
                                                  <w:divsChild>
                                                    <w:div w:id="1508014701">
                                                      <w:marLeft w:val="0"/>
                                                      <w:marRight w:val="0"/>
                                                      <w:marTop w:val="0"/>
                                                      <w:marBottom w:val="0"/>
                                                      <w:divBdr>
                                                        <w:top w:val="none" w:sz="0" w:space="0" w:color="auto"/>
                                                        <w:left w:val="none" w:sz="0" w:space="0" w:color="auto"/>
                                                        <w:bottom w:val="none" w:sz="0" w:space="0" w:color="auto"/>
                                                        <w:right w:val="none" w:sz="0" w:space="0" w:color="auto"/>
                                                      </w:divBdr>
                                                    </w:div>
                                                  </w:divsChild>
                                                </w:div>
                                                <w:div w:id="2042976586">
                                                  <w:marLeft w:val="0"/>
                                                  <w:marRight w:val="0"/>
                                                  <w:marTop w:val="0"/>
                                                  <w:marBottom w:val="0"/>
                                                  <w:divBdr>
                                                    <w:top w:val="none" w:sz="0" w:space="0" w:color="auto"/>
                                                    <w:left w:val="none" w:sz="0" w:space="0" w:color="auto"/>
                                                    <w:bottom w:val="none" w:sz="0" w:space="0" w:color="auto"/>
                                                    <w:right w:val="none" w:sz="0" w:space="0" w:color="auto"/>
                                                  </w:divBdr>
                                                </w:div>
                                                <w:div w:id="491067581">
                                                  <w:marLeft w:val="0"/>
                                                  <w:marRight w:val="0"/>
                                                  <w:marTop w:val="0"/>
                                                  <w:marBottom w:val="0"/>
                                                  <w:divBdr>
                                                    <w:top w:val="none" w:sz="0" w:space="0" w:color="auto"/>
                                                    <w:left w:val="none" w:sz="0" w:space="0" w:color="auto"/>
                                                    <w:bottom w:val="none" w:sz="0" w:space="0" w:color="auto"/>
                                                    <w:right w:val="none" w:sz="0" w:space="0" w:color="auto"/>
                                                  </w:divBdr>
                                                </w:div>
                                                <w:div w:id="1201821516">
                                                  <w:marLeft w:val="0"/>
                                                  <w:marRight w:val="0"/>
                                                  <w:marTop w:val="0"/>
                                                  <w:marBottom w:val="0"/>
                                                  <w:divBdr>
                                                    <w:top w:val="none" w:sz="0" w:space="0" w:color="auto"/>
                                                    <w:left w:val="none" w:sz="0" w:space="0" w:color="auto"/>
                                                    <w:bottom w:val="none" w:sz="0" w:space="0" w:color="auto"/>
                                                    <w:right w:val="none" w:sz="0" w:space="0" w:color="auto"/>
                                                  </w:divBdr>
                                                  <w:divsChild>
                                                    <w:div w:id="589004253">
                                                      <w:marLeft w:val="0"/>
                                                      <w:marRight w:val="0"/>
                                                      <w:marTop w:val="0"/>
                                                      <w:marBottom w:val="0"/>
                                                      <w:divBdr>
                                                        <w:top w:val="none" w:sz="0" w:space="0" w:color="auto"/>
                                                        <w:left w:val="none" w:sz="0" w:space="0" w:color="auto"/>
                                                        <w:bottom w:val="none" w:sz="0" w:space="0" w:color="auto"/>
                                                        <w:right w:val="none" w:sz="0" w:space="0" w:color="auto"/>
                                                      </w:divBdr>
                                                    </w:div>
                                                  </w:divsChild>
                                                </w:div>
                                                <w:div w:id="907303120">
                                                  <w:marLeft w:val="0"/>
                                                  <w:marRight w:val="0"/>
                                                  <w:marTop w:val="0"/>
                                                  <w:marBottom w:val="0"/>
                                                  <w:divBdr>
                                                    <w:top w:val="none" w:sz="0" w:space="0" w:color="auto"/>
                                                    <w:left w:val="none" w:sz="0" w:space="0" w:color="auto"/>
                                                    <w:bottom w:val="none" w:sz="0" w:space="0" w:color="auto"/>
                                                    <w:right w:val="none" w:sz="0" w:space="0" w:color="auto"/>
                                                  </w:divBdr>
                                                  <w:divsChild>
                                                    <w:div w:id="1042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396398">
      <w:bodyDiv w:val="1"/>
      <w:marLeft w:val="0"/>
      <w:marRight w:val="0"/>
      <w:marTop w:val="0"/>
      <w:marBottom w:val="0"/>
      <w:divBdr>
        <w:top w:val="none" w:sz="0" w:space="0" w:color="auto"/>
        <w:left w:val="none" w:sz="0" w:space="0" w:color="auto"/>
        <w:bottom w:val="none" w:sz="0" w:space="0" w:color="auto"/>
        <w:right w:val="none" w:sz="0" w:space="0" w:color="auto"/>
      </w:divBdr>
    </w:div>
    <w:div w:id="1045787077">
      <w:bodyDiv w:val="1"/>
      <w:marLeft w:val="0"/>
      <w:marRight w:val="0"/>
      <w:marTop w:val="0"/>
      <w:marBottom w:val="0"/>
      <w:divBdr>
        <w:top w:val="none" w:sz="0" w:space="0" w:color="auto"/>
        <w:left w:val="none" w:sz="0" w:space="0" w:color="auto"/>
        <w:bottom w:val="none" w:sz="0" w:space="0" w:color="auto"/>
        <w:right w:val="none" w:sz="0" w:space="0" w:color="auto"/>
      </w:divBdr>
    </w:div>
    <w:div w:id="1124889911">
      <w:bodyDiv w:val="1"/>
      <w:marLeft w:val="0"/>
      <w:marRight w:val="0"/>
      <w:marTop w:val="0"/>
      <w:marBottom w:val="0"/>
      <w:divBdr>
        <w:top w:val="none" w:sz="0" w:space="0" w:color="auto"/>
        <w:left w:val="none" w:sz="0" w:space="0" w:color="auto"/>
        <w:bottom w:val="none" w:sz="0" w:space="0" w:color="auto"/>
        <w:right w:val="none" w:sz="0" w:space="0" w:color="auto"/>
      </w:divBdr>
    </w:div>
    <w:div w:id="1321079262">
      <w:bodyDiv w:val="1"/>
      <w:marLeft w:val="0"/>
      <w:marRight w:val="0"/>
      <w:marTop w:val="0"/>
      <w:marBottom w:val="0"/>
      <w:divBdr>
        <w:top w:val="none" w:sz="0" w:space="0" w:color="auto"/>
        <w:left w:val="none" w:sz="0" w:space="0" w:color="auto"/>
        <w:bottom w:val="none" w:sz="0" w:space="0" w:color="auto"/>
        <w:right w:val="none" w:sz="0" w:space="0" w:color="auto"/>
      </w:divBdr>
    </w:div>
    <w:div w:id="1451972934">
      <w:bodyDiv w:val="1"/>
      <w:marLeft w:val="0"/>
      <w:marRight w:val="0"/>
      <w:marTop w:val="0"/>
      <w:marBottom w:val="0"/>
      <w:divBdr>
        <w:top w:val="none" w:sz="0" w:space="0" w:color="auto"/>
        <w:left w:val="none" w:sz="0" w:space="0" w:color="auto"/>
        <w:bottom w:val="none" w:sz="0" w:space="0" w:color="auto"/>
        <w:right w:val="none" w:sz="0" w:space="0" w:color="auto"/>
      </w:divBdr>
    </w:div>
    <w:div w:id="1657800367">
      <w:bodyDiv w:val="1"/>
      <w:marLeft w:val="0"/>
      <w:marRight w:val="0"/>
      <w:marTop w:val="0"/>
      <w:marBottom w:val="0"/>
      <w:divBdr>
        <w:top w:val="none" w:sz="0" w:space="0" w:color="auto"/>
        <w:left w:val="none" w:sz="0" w:space="0" w:color="auto"/>
        <w:bottom w:val="none" w:sz="0" w:space="0" w:color="auto"/>
        <w:right w:val="none" w:sz="0" w:space="0" w:color="auto"/>
      </w:divBdr>
    </w:div>
    <w:div w:id="2016959891">
      <w:bodyDiv w:val="1"/>
      <w:marLeft w:val="0"/>
      <w:marRight w:val="0"/>
      <w:marTop w:val="0"/>
      <w:marBottom w:val="0"/>
      <w:divBdr>
        <w:top w:val="none" w:sz="0" w:space="0" w:color="auto"/>
        <w:left w:val="none" w:sz="0" w:space="0" w:color="auto"/>
        <w:bottom w:val="none" w:sz="0" w:space="0" w:color="auto"/>
        <w:right w:val="none" w:sz="0" w:space="0" w:color="auto"/>
      </w:divBdr>
    </w:div>
    <w:div w:id="20620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6333</Words>
  <Characters>36103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2021-10-13T01:33:00Z</dcterms:created>
  <dcterms:modified xsi:type="dcterms:W3CDTF">2021-11-11T02:25:00Z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A19447843</vt:lpwstr>
  </property>
  <property fmtid="{D5CDD505-2E9C-101B-9397-08002B2CF9AE}" pid="4" name="Objective-Title">
    <vt:lpwstr>6.2.12.4.1 Township industry precinct - Requirements for accepted development UPDATED</vt:lpwstr>
  </property>
  <property fmtid="{D5CDD505-2E9C-101B-9397-08002B2CF9AE}" pid="5" name="Objective-Comment">
    <vt:lpwstr/>
  </property>
  <property fmtid="{D5CDD505-2E9C-101B-9397-08002B2CF9AE}" pid="6" name="Objective-CreationStamp">
    <vt:filetime>2019-12-09T02:59:59Z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2020-01-06T01:58:18Z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