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15" w:rsidRPr="005F663B" w:rsidRDefault="003C1515" w:rsidP="003C1515">
      <w:pPr>
        <w:rPr>
          <w:rFonts w:ascii="Arial" w:hAnsi="Arial" w:cs="Arial"/>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1591"/>
        <w:gridCol w:w="8752"/>
        <w:gridCol w:w="1705"/>
        <w:gridCol w:w="3502"/>
      </w:tblGrid>
      <w:tr w:rsidR="007372F1" w:rsidRPr="005F663B" w:rsidTr="007372F1">
        <w:trPr>
          <w:tblCellSpacing w:w="15" w:type="dxa"/>
        </w:trPr>
        <w:tc>
          <w:tcPr>
            <w:tcW w:w="3323" w:type="pct"/>
            <w:gridSpan w:val="3"/>
            <w:tcBorders>
              <w:top w:val="nil"/>
              <w:left w:val="nil"/>
              <w:bottom w:val="nil"/>
              <w:right w:val="nil"/>
            </w:tcBorders>
            <w:shd w:val="clear" w:color="auto" w:fill="CCCCCC"/>
            <w:vAlign w:val="center"/>
            <w:hideMark/>
          </w:tcPr>
          <w:p w:rsidR="003C1515" w:rsidRPr="005F663B" w:rsidRDefault="003C1515" w:rsidP="007372F1">
            <w:pPr>
              <w:jc w:val="center"/>
              <w:rPr>
                <w:rFonts w:ascii="Arial" w:hAnsi="Arial" w:cs="Arial"/>
                <w:sz w:val="20"/>
                <w:szCs w:val="20"/>
              </w:rPr>
            </w:pPr>
            <w:r w:rsidRPr="005F663B">
              <w:rPr>
                <w:rFonts w:ascii="Arial" w:hAnsi="Arial" w:cs="Arial"/>
                <w:b/>
                <w:bCs/>
                <w:sz w:val="20"/>
                <w:szCs w:val="20"/>
              </w:rPr>
              <w:t>Table 7.2.1.6.1 Requirements for accepted development - Interim residential precinct</w:t>
            </w:r>
          </w:p>
        </w:tc>
        <w:tc>
          <w:tcPr>
            <w:tcW w:w="541" w:type="pct"/>
            <w:tcBorders>
              <w:top w:val="nil"/>
              <w:left w:val="nil"/>
              <w:bottom w:val="nil"/>
              <w:right w:val="nil"/>
            </w:tcBorders>
            <w:shd w:val="clear" w:color="auto" w:fill="CCCCCC"/>
          </w:tcPr>
          <w:p w:rsidR="003C1515" w:rsidRPr="005F663B" w:rsidRDefault="003C1515" w:rsidP="003C1515">
            <w:pPr>
              <w:rPr>
                <w:rFonts w:ascii="Arial" w:hAnsi="Arial" w:cs="Arial"/>
                <w:b/>
                <w:bCs/>
                <w:sz w:val="20"/>
                <w:szCs w:val="20"/>
              </w:rPr>
            </w:pPr>
          </w:p>
        </w:tc>
        <w:tc>
          <w:tcPr>
            <w:tcW w:w="1098" w:type="pct"/>
            <w:tcBorders>
              <w:top w:val="nil"/>
              <w:left w:val="nil"/>
              <w:bottom w:val="nil"/>
              <w:right w:val="nil"/>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Requirements for accepted development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E Compliance</w:t>
            </w:r>
          </w:p>
          <w:p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Yes</w:t>
            </w:r>
          </w:p>
          <w:p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No</w:t>
            </w: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Council confirmation</w:t>
            </w: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7372F1">
            <w:pPr>
              <w:jc w:val="center"/>
              <w:rPr>
                <w:rFonts w:ascii="Arial" w:hAnsi="Arial" w:cs="Arial"/>
                <w:sz w:val="20"/>
                <w:szCs w:val="20"/>
              </w:rPr>
            </w:pPr>
            <w:r w:rsidRPr="005F663B">
              <w:rPr>
                <w:rFonts w:ascii="Arial" w:hAnsi="Arial" w:cs="Arial"/>
                <w:b/>
                <w:bCs/>
                <w:sz w:val="20"/>
                <w:szCs w:val="20"/>
              </w:rPr>
              <w:t>General requirements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Height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rHeight w:val="1155"/>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RAD1</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w:t>
            </w:r>
          </w:p>
          <w:p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that mapped on Overlay map – Building heights; or</w:t>
            </w:r>
          </w:p>
          <w:p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for domestic outbuildings, including free standing carports and garages, 4m and a mean height not exceeding 3.5m.</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height (Non-residential uses)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RAD2</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 the maximum height identified on Overlay map - Building heights.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setbacks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RAD3</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Setbacks (excluding built to boundary walls) comply with Table 7.2.1.6.3 - Setbacks.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C90522">
        <w:trPr>
          <w:trHeight w:val="1493"/>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RAD4</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Buildings (excluding class 10 buildings and structures) ensure that built to boundary walls are:</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only established on lots having a primary frontage of 18m or less and where permitted in Table 7.2.1.6.4;</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 xml:space="preserve">of a length and height not exceeding that specified stated in Table </w:t>
            </w:r>
            <w:proofErr w:type="gramStart"/>
            <w:r w:rsidRPr="005F663B">
              <w:rPr>
                <w:rFonts w:ascii="Arial" w:hAnsi="Arial" w:cs="Arial"/>
                <w:sz w:val="20"/>
                <w:szCs w:val="20"/>
              </w:rPr>
              <w:t>7.2.1.6.4  -</w:t>
            </w:r>
            <w:proofErr w:type="gramEnd"/>
            <w:r w:rsidRPr="005F663B">
              <w:rPr>
                <w:rFonts w:ascii="Arial" w:hAnsi="Arial" w:cs="Arial"/>
                <w:sz w:val="20"/>
                <w:szCs w:val="20"/>
              </w:rPr>
              <w:t xml:space="preserve"> Built to boundary walls;</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setback from the side boundary:</w:t>
            </w:r>
          </w:p>
          <w:p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t>if a plan of development provides for only one built to boundary wall on the one boundary, not more than 200mm; or</w:t>
            </w:r>
          </w:p>
          <w:p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lastRenderedPageBreak/>
              <w:t>if a built to boundary wall may be built on each side of the same boundary, not more than 20mm;</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 the low side of a sloping lot.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Site cover</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RAD5</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Site cover does not exceed 50% (excluding eaves, sun shading devices, patios, balconies and other unenclosed structures).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Lighting</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RAD6</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jc w:val="center"/>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Clearing of habitat trees where not located in the Environmental areas overlay map</w:t>
            </w: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RAD7</w:t>
            </w:r>
          </w:p>
        </w:tc>
        <w:tc>
          <w:tcPr>
            <w:tcW w:w="2807" w:type="pct"/>
            <w:tcBorders>
              <w:top w:val="outset" w:sz="6" w:space="0" w:color="auto"/>
              <w:left w:val="outset" w:sz="6" w:space="0" w:color="auto"/>
              <w:bottom w:val="outset" w:sz="6" w:space="0" w:color="auto"/>
              <w:right w:val="outset" w:sz="6" w:space="0" w:color="auto"/>
            </w:tcBorders>
            <w:vAlign w:val="center"/>
            <w:hideMark/>
          </w:tcPr>
          <w:p w:rsidR="003C1515" w:rsidRPr="005F663B" w:rsidRDefault="003C1515" w:rsidP="003C1515">
            <w:pPr>
              <w:rPr>
                <w:rFonts w:ascii="Arial" w:hAnsi="Arial" w:cs="Arial"/>
                <w:sz w:val="20"/>
                <w:szCs w:val="20"/>
              </w:rPr>
            </w:pPr>
            <w:r w:rsidRPr="005F663B">
              <w:rPr>
                <w:rFonts w:ascii="Arial" w:hAnsi="Arial" w:cs="Arial"/>
                <w:sz w:val="20"/>
                <w:szCs w:val="20"/>
              </w:rPr>
              <w:t>Development does not result in the damaging, destroyed or clearing of a habitat tree. This does not apply to:</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located within an approved development footprint;</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within 10m from a lawfully established building reasonably necessary for emergency access or immediately required in response to an accident or emergency;</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to remove or reduce the risk vegetation poses to serious personal injury or damage to infrastructure;</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5F663B">
              <w:rPr>
                <w:rFonts w:ascii="Arial" w:hAnsi="Arial" w:cs="Arial"/>
                <w:sz w:val="20"/>
                <w:szCs w:val="20"/>
              </w:rPr>
              <w:t>Rural ,</w:t>
            </w:r>
            <w:proofErr w:type="gramEnd"/>
            <w:r w:rsidRPr="005F663B">
              <w:rPr>
                <w:rFonts w:ascii="Arial" w:hAnsi="Arial" w:cs="Arial"/>
                <w:sz w:val="20"/>
                <w:szCs w:val="20"/>
              </w:rPr>
              <w:t xml:space="preserve"> </w:t>
            </w:r>
            <w:r w:rsidRPr="005F663B">
              <w:rPr>
                <w:rFonts w:ascii="Arial" w:hAnsi="Arial" w:cs="Arial"/>
                <w:sz w:val="20"/>
                <w:szCs w:val="20"/>
              </w:rPr>
              <w:lastRenderedPageBreak/>
              <w:t>Rural residential and Environmental management and conservation zones.  In any other zone, clearing is not to exceed 2m in width either side of the fence;</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for the purpose of maintenance or works within a registered easement for public infrastructure or drainage purposes;</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in accordance with a bushfire management plan prepared by a suitably qualified person, submitted to and accepted by Council;</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associated with removal of recognised weed species, maintaining existing open pastures and cropping land, windbreaks, lawns or created gardens;</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Works requirements</w:t>
            </w:r>
          </w:p>
        </w:tc>
      </w:tr>
      <w:tr w:rsidR="007372F1" w:rsidRPr="005F663B" w:rsidTr="007372F1">
        <w:trPr>
          <w:gridBefore w:val="1"/>
          <w:wBefore w:w="2" w:type="pct"/>
          <w:tblCellSpacing w:w="15" w:type="dxa"/>
        </w:trPr>
        <w:tc>
          <w:tcPr>
            <w:tcW w:w="3311"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1515" w:rsidRPr="005F663B" w:rsidRDefault="003C1515" w:rsidP="003C1515">
            <w:pPr>
              <w:rPr>
                <w:rFonts w:ascii="Arial" w:hAnsi="Arial" w:cs="Arial"/>
                <w:sz w:val="20"/>
                <w:szCs w:val="20"/>
              </w:rPr>
            </w:pPr>
            <w:r w:rsidRPr="005F663B">
              <w:rPr>
                <w:rFonts w:ascii="Arial" w:hAnsi="Arial" w:cs="Arial"/>
                <w:b/>
                <w:bCs/>
                <w:sz w:val="20"/>
                <w:szCs w:val="20"/>
              </w:rPr>
              <w:t>Utilities</w:t>
            </w:r>
          </w:p>
        </w:tc>
        <w:tc>
          <w:tcPr>
            <w:tcW w:w="541" w:type="pct"/>
            <w:tcBorders>
              <w:top w:val="outset" w:sz="6" w:space="0" w:color="auto"/>
              <w:left w:val="outset" w:sz="6" w:space="0" w:color="auto"/>
              <w:bottom w:val="outset" w:sz="6" w:space="0" w:color="auto"/>
              <w:right w:val="outset" w:sz="6" w:space="0" w:color="auto"/>
            </w:tcBorders>
            <w:shd w:val="clear" w:color="auto" w:fill="D8D9D9"/>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D8D9D9"/>
          </w:tcPr>
          <w:p w:rsidR="003C1515" w:rsidRPr="005F663B" w:rsidRDefault="003C1515" w:rsidP="003C1515">
            <w:pPr>
              <w:rPr>
                <w:rFonts w:ascii="Arial" w:hAnsi="Arial" w:cs="Arial"/>
                <w:b/>
                <w:bCs/>
                <w:sz w:val="20"/>
                <w:szCs w:val="20"/>
              </w:rPr>
            </w:pPr>
          </w:p>
        </w:tc>
      </w:tr>
      <w:tr w:rsidR="007372F1" w:rsidRPr="005F663B" w:rsidTr="007372F1">
        <w:trPr>
          <w:gridBefore w:val="1"/>
          <w:wBefore w:w="2" w:type="pct"/>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RAD8</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Development is provided with an appropriate level of service and infrastructure in accordance with Planning scheme policy - Integrated design (Appendix A).</w:t>
            </w:r>
          </w:p>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7372F1">
            <w:pPr>
              <w:ind w:right="-272"/>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0"/>
        <w:gridCol w:w="8845"/>
        <w:gridCol w:w="1807"/>
        <w:gridCol w:w="3469"/>
      </w:tblGrid>
      <w:tr w:rsidR="007372F1" w:rsidRPr="005F663B" w:rsidTr="007372F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sz w:val="20"/>
                <w:szCs w:val="20"/>
              </w:rPr>
            </w:pPr>
            <w:r w:rsidRPr="005F663B">
              <w:rPr>
                <w:rFonts w:ascii="Arial" w:hAnsi="Arial" w:cs="Arial"/>
                <w:b/>
                <w:bCs/>
                <w:sz w:val="20"/>
                <w:szCs w:val="20"/>
              </w:rPr>
              <w:t>Access</w:t>
            </w:r>
          </w:p>
        </w:tc>
        <w:tc>
          <w:tcPr>
            <w:tcW w:w="572" w:type="pct"/>
            <w:tcBorders>
              <w:top w:val="outset" w:sz="6" w:space="0" w:color="auto"/>
              <w:left w:val="outset" w:sz="6" w:space="0" w:color="auto"/>
              <w:bottom w:val="outset" w:sz="6" w:space="0" w:color="auto"/>
              <w:right w:val="outset" w:sz="6" w:space="0" w:color="auto"/>
            </w:tcBorders>
            <w:shd w:val="clear" w:color="auto" w:fill="D8D9D9"/>
          </w:tcPr>
          <w:p w:rsidR="007372F1" w:rsidRPr="005F663B" w:rsidRDefault="007372F1" w:rsidP="003C1515">
            <w:pPr>
              <w:rPr>
                <w:rFonts w:ascii="Arial" w:hAnsi="Arial" w:cs="Arial"/>
                <w:b/>
                <w:bCs/>
                <w:sz w:val="20"/>
                <w:szCs w:val="20"/>
              </w:rPr>
            </w:pPr>
          </w:p>
        </w:tc>
        <w:tc>
          <w:tcPr>
            <w:tcW w:w="1083" w:type="pct"/>
            <w:tcBorders>
              <w:top w:val="outset" w:sz="6" w:space="0" w:color="auto"/>
              <w:left w:val="outset" w:sz="6" w:space="0" w:color="auto"/>
              <w:bottom w:val="outset" w:sz="6" w:space="0" w:color="auto"/>
              <w:right w:val="outset" w:sz="6" w:space="0" w:color="auto"/>
            </w:tcBorders>
            <w:shd w:val="clear" w:color="auto" w:fill="D8D9D9"/>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RAD9</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additional vehicular access to Anzac Avenue.</w:t>
            </w: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RAD10</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Roads </w:t>
                  </w:r>
                  <w:proofErr w:type="gramStart"/>
                  <w:r w:rsidRPr="00C90522">
                    <w:rPr>
                      <w:rFonts w:ascii="Arial" w:hAnsi="Arial" w:cs="Arial"/>
                      <w:sz w:val="18"/>
                      <w:szCs w:val="20"/>
                    </w:rPr>
                    <w:t>are considered to be</w:t>
                  </w:r>
                  <w:proofErr w:type="gramEnd"/>
                  <w:r w:rsidRPr="00C90522">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lastRenderedPageBreak/>
                    <w:t>Note - Frontage roads include streets where no direct lot access is provided.</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RAD11</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direct vehicle access for residential development does not occur from arterial or sub-arterial roads.</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RAD12</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crossovers and driveways are designed, located and constructed in accordance with:</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associated with a Dwelling house:</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not associated with a Dwelling house:</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AS/NZS2890.1 Parking facilities Part 1: Off street car parking;</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 2890.2 - Parking facilities Part 2: Off-street commercial vehicle facilities;</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Schedule 8 - Service vehicle requirements; </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RAD13</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RAD14</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Stormwater</w:t>
            </w: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RAD15</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Any new or changes to existing stormwater run-off from the site </w:t>
            </w:r>
            <w:proofErr w:type="gramStart"/>
            <w:r w:rsidRPr="005F663B">
              <w:rPr>
                <w:rFonts w:ascii="Arial" w:hAnsi="Arial" w:cs="Arial"/>
                <w:sz w:val="20"/>
                <w:szCs w:val="20"/>
              </w:rPr>
              <w:t>is</w:t>
            </w:r>
            <w:proofErr w:type="gramEnd"/>
            <w:r w:rsidRPr="005F663B">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watercourse as defined in the Water Act may be accepted as a lawful point of discharge providing the drainage discharge from the site does not increase the downstream flood levels during events up to and </w:t>
                  </w:r>
                  <w:r w:rsidRPr="00C90522">
                    <w:rPr>
                      <w:rFonts w:ascii="Arial" w:hAnsi="Arial" w:cs="Arial"/>
                      <w:sz w:val="18"/>
                      <w:szCs w:val="20"/>
                    </w:rPr>
                    <w:lastRenderedPageBreak/>
                    <w:t>including the 1% AEP storm. An afflux of +20mm may be accepted on Council controlled land and road infrastructure. No worsening is ensured when stormwater is discharged into a catchment that includes State Transport Infrastructure</w:t>
                  </w:r>
                  <w:r w:rsidRPr="005F663B">
                    <w:rPr>
                      <w:rFonts w:ascii="Arial" w:hAnsi="Arial" w:cs="Arial"/>
                      <w:sz w:val="20"/>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RAD16</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incorporates a 'deemed to comply solution' to manage stormwater quality where the development:</w:t>
            </w:r>
          </w:p>
          <w:p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is for an urban purpose that involves a land area of 2500m</w:t>
            </w:r>
            <w:r w:rsidRPr="005F663B">
              <w:rPr>
                <w:rFonts w:ascii="Arial" w:hAnsi="Arial" w:cs="Arial"/>
                <w:sz w:val="20"/>
                <w:szCs w:val="20"/>
                <w:vertAlign w:val="superscript"/>
              </w:rPr>
              <w:t>2</w:t>
            </w:r>
            <w:r w:rsidRPr="005F663B">
              <w:rPr>
                <w:rFonts w:ascii="Arial" w:hAnsi="Arial" w:cs="Arial"/>
                <w:sz w:val="20"/>
                <w:szCs w:val="20"/>
              </w:rPr>
              <w:t> or greater; and</w:t>
            </w:r>
          </w:p>
          <w:p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will result in:</w:t>
            </w:r>
          </w:p>
          <w:p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6 or more dwellings; or</w:t>
            </w:r>
          </w:p>
          <w:p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RAD17</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C90522">
                    <w:rPr>
                      <w:rFonts w:ascii="Arial" w:hAnsi="Arial" w:cs="Arial"/>
                      <w:sz w:val="18"/>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RAD18</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5F663B">
                    <w:rPr>
                      <w:rFonts w:ascii="Arial" w:hAnsi="Arial" w:cs="Arial"/>
                      <w:sz w:val="20"/>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RAD19</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4"/>
              <w:gridCol w:w="4355"/>
            </w:tblGrid>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5F663B" w:rsidRDefault="007372F1" w:rsidP="003C1515">
                  <w:pPr>
                    <w:rPr>
                      <w:rFonts w:ascii="Arial" w:hAnsi="Arial" w:cs="Arial"/>
                      <w:sz w:val="20"/>
                      <w:szCs w:val="20"/>
                    </w:rPr>
                  </w:pPr>
                  <w:r w:rsidRPr="005F663B">
                    <w:rPr>
                      <w:rFonts w:ascii="Arial" w:hAnsi="Arial" w:cs="Arial"/>
                      <w:sz w:val="20"/>
                      <w:szCs w:val="20"/>
                    </w:rPr>
                    <w:t>Pipe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5F663B" w:rsidRDefault="007372F1" w:rsidP="003C1515">
                  <w:pPr>
                    <w:rPr>
                      <w:rFonts w:ascii="Arial" w:hAnsi="Arial" w:cs="Arial"/>
                      <w:sz w:val="20"/>
                      <w:szCs w:val="20"/>
                    </w:rPr>
                  </w:pPr>
                  <w:r w:rsidRPr="005F663B">
                    <w:rPr>
                      <w:rFonts w:ascii="Arial" w:hAnsi="Arial" w:cs="Arial"/>
                      <w:sz w:val="20"/>
                      <w:szCs w:val="20"/>
                    </w:rPr>
                    <w:t>Minimum Easement Width (excluding access requirements)</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Stormwater Pipe up to 825mm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3.0m</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Pipe up to 825mm diameter with Sewer pipe up to 225m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4.0m</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pipe greater than 825mm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Easement boundary to be 1m clear of the outside wall of the pipe and clear of all pits.</w:t>
                  </w:r>
                </w:p>
                <w:p w:rsidR="007372F1" w:rsidRPr="005F663B" w:rsidRDefault="007372F1" w:rsidP="003C1515">
                  <w:pPr>
                    <w:rPr>
                      <w:rFonts w:ascii="Arial" w:hAnsi="Arial" w:cs="Arial"/>
                      <w:sz w:val="20"/>
                      <w:szCs w:val="20"/>
                    </w:rPr>
                  </w:pPr>
                </w:p>
              </w:tc>
            </w:tr>
            <w:tr w:rsidR="007372F1" w:rsidRPr="00C90522" w:rsidTr="003C1515">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Additional easement width may be required in certain circumstances in order to facilitate maintenance access to the stormwater system.</w:t>
                  </w:r>
                </w:p>
              </w:tc>
            </w:tr>
          </w:tbl>
          <w:p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Refer to Planning scheme policy - Integrated design (Appendix C) for easement requirements over open channels.</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0"/>
        <w:gridCol w:w="8748"/>
        <w:gridCol w:w="1817"/>
        <w:gridCol w:w="3490"/>
      </w:tblGrid>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Site works and construction management</w:t>
            </w: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RAD20</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site and any existing structures are to be maintained in a tidy and safe condition.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RAD21</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RAD22</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dust emissions extend beyond the boundaries of the site during soil disturbances and construction works.</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RAD23</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RAD24</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damage to Council land or infrastructure is repaired or replaced with the same materials, prior to plan sealing, or final building classification.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RAD25</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RAD26</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Any material dropped, deposited or spilled on the road(s) as a result of construction processes associated with the site </w:t>
            </w:r>
            <w:proofErr w:type="gramStart"/>
            <w:r w:rsidRPr="005F663B">
              <w:rPr>
                <w:rFonts w:ascii="Arial" w:hAnsi="Arial" w:cs="Arial"/>
                <w:sz w:val="20"/>
                <w:szCs w:val="20"/>
              </w:rPr>
              <w:t>are to be cleaned at all times</w:t>
            </w:r>
            <w:proofErr w:type="gramEnd"/>
            <w:r w:rsidRPr="005F663B">
              <w:rPr>
                <w:rFonts w:ascii="Arial" w:hAnsi="Arial" w:cs="Arial"/>
                <w:sz w:val="20"/>
                <w:szCs w:val="20"/>
              </w:rPr>
              <w:t>.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RAD27</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No parking of vehicles or storage of machinery or goods is to occur in these areas during development works</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RAD28</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Disposal of materials is managed in one or more of the following ways:</w:t>
            </w:r>
          </w:p>
          <w:p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cleared vegetation, declared weeds, stumps, rubbish, car bodies, scrap metal and the like are removed and disposed of in a Council land fill facility; or</w:t>
            </w:r>
          </w:p>
          <w:p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No burning of cleared vegetation is permitted.</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The chipped vegetation must be stored in an approved location.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RAD29</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development works are carried out within the following times:</w:t>
            </w:r>
          </w:p>
          <w:p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Monday to Saturday (other than public holidays) between 6:30am and 6:30pm on the same day;</w:t>
            </w:r>
          </w:p>
          <w:p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no work is to be carried out on Sundays or public holidays.</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Earthworks</w:t>
            </w: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RAD30</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total of all cut and fill on-site does not exceed 900mm in height.</w:t>
            </w:r>
          </w:p>
          <w:p w:rsidR="007372F1" w:rsidRPr="005F663B" w:rsidRDefault="007372F1" w:rsidP="00C90522">
            <w:pPr>
              <w:jc w:val="center"/>
              <w:rPr>
                <w:rFonts w:ascii="Arial" w:hAnsi="Arial" w:cs="Arial"/>
                <w:sz w:val="20"/>
                <w:szCs w:val="20"/>
              </w:rPr>
            </w:pPr>
            <w:r w:rsidRPr="005F663B">
              <w:rPr>
                <w:rFonts w:ascii="Arial" w:hAnsi="Arial" w:cs="Arial"/>
                <w:b/>
                <w:bCs/>
                <w:sz w:val="20"/>
                <w:szCs w:val="20"/>
              </w:rPr>
              <w:t>Figure - Cut and Fill</w:t>
            </w:r>
          </w:p>
          <w:p w:rsidR="007372F1" w:rsidRPr="005F663B" w:rsidRDefault="007372F1" w:rsidP="00C90522">
            <w:pPr>
              <w:jc w:val="center"/>
              <w:rPr>
                <w:rFonts w:ascii="Arial" w:hAnsi="Arial" w:cs="Arial"/>
                <w:sz w:val="20"/>
                <w:szCs w:val="20"/>
              </w:rPr>
            </w:pPr>
            <w:r w:rsidRPr="005F663B">
              <w:rPr>
                <w:rFonts w:ascii="Arial" w:hAnsi="Arial" w:cs="Arial"/>
                <w:noProof/>
                <w:sz w:val="20"/>
                <w:szCs w:val="20"/>
              </w:rPr>
              <w:drawing>
                <wp:inline distT="0" distB="0" distL="0" distR="0" wp14:anchorId="15A5DB7D" wp14:editId="16E20E26">
                  <wp:extent cx="3590925" cy="1352550"/>
                  <wp:effectExtent l="0" t="0" r="9525" b="0"/>
                  <wp:docPr id="50"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7372F1" w:rsidRPr="005F663B" w:rsidRDefault="007372F1" w:rsidP="003C15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w:t>
                  </w:r>
                  <w:proofErr w:type="gramStart"/>
                  <w:r w:rsidRPr="00C90522">
                    <w:rPr>
                      <w:rFonts w:ascii="Arial" w:hAnsi="Arial" w:cs="Arial"/>
                      <w:sz w:val="18"/>
                      <w:szCs w:val="20"/>
                    </w:rPr>
                    <w:t>-  This</w:t>
                  </w:r>
                  <w:proofErr w:type="gramEnd"/>
                  <w:r w:rsidRPr="00C90522">
                    <w:rPr>
                      <w:rFonts w:ascii="Arial" w:hAnsi="Arial" w:cs="Arial"/>
                      <w:sz w:val="18"/>
                      <w:szCs w:val="20"/>
                    </w:rPr>
                    <w:t xml:space="preserve"> is site earthworks not building work.</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RAD31</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Cut and fill batters, (other than batters to dams and water impoundments), have a finished slope no steeper than the following:</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cut batter is no steeper than 1V in 4H;</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fill batter, (other than a compacted fill batter), is no steeper than 1V in 4H;</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compacted fill batter is no steeper than 1V in 4H.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RAD32</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RAD33</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Inspection and certification of steep slopes and batters may be required by a suitably qualified and experienced RPEQ.</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RAD34</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All fill and excavation </w:t>
            </w:r>
            <w:proofErr w:type="gramStart"/>
            <w:r w:rsidRPr="005F663B">
              <w:rPr>
                <w:rFonts w:ascii="Arial" w:hAnsi="Arial" w:cs="Arial"/>
                <w:sz w:val="20"/>
                <w:szCs w:val="20"/>
              </w:rPr>
              <w:t>is</w:t>
            </w:r>
            <w:proofErr w:type="gramEnd"/>
            <w:r w:rsidRPr="005F663B">
              <w:rPr>
                <w:rFonts w:ascii="Arial" w:hAnsi="Arial" w:cs="Arial"/>
                <w:sz w:val="20"/>
                <w:szCs w:val="20"/>
              </w:rPr>
              <w:t xml:space="preserve"> contained on-site and is free draining.</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RAD35</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Earthworks undertaken on the development site are shaped in a manner which does not:</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prevent stormwater surface flow which, prior to commencement of the earthworks, passed onto the development site, from entering the land; or </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redirect stormwater surface flow away from existing flow paths; or</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divert stormwater surface flow onto adjacent land (other than a road) in a manner which:</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concentrates the flow; or </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increases the flow rates of stormwater over the affected section of the adjacent land above the situation which existed prior to the diversion; or</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causes actionable nuisance to any person, property or premises.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RAD36</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fill placed on-site is:</w:t>
            </w:r>
          </w:p>
          <w:p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lastRenderedPageBreak/>
              <w:t>limited to that necessary for the approved use;</w:t>
            </w:r>
          </w:p>
          <w:p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t>clean and uncontaminated (i.e. no building waste, concrete, green waste, actual acid sulfate soils, potential acid sulfate soils or contaminated material etc.).</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RAD37</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The site is </w:t>
            </w:r>
            <w:proofErr w:type="gramStart"/>
            <w:r w:rsidRPr="005F663B">
              <w:rPr>
                <w:rFonts w:ascii="Arial" w:hAnsi="Arial" w:cs="Arial"/>
                <w:sz w:val="20"/>
                <w:szCs w:val="20"/>
              </w:rPr>
              <w:t>prepared</w:t>
            </w:r>
            <w:proofErr w:type="gramEnd"/>
            <w:r w:rsidRPr="005F663B">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fill is to be inspected and tested in accordance with Planning scheme policy - Operational works inspection, maintenance and bonding procedures</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RAD38</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Public sector entity is defined in Schedule 2 of the Act.</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RAD39</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Filling or excavation that would result in any of the following is not carried out on site: </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 reduction in cover over any Council or public sector entity infrastructure to less than 600mm;</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 xml:space="preserve">prevent reasonable access to Council or public sector </w:t>
            </w:r>
            <w:proofErr w:type="gramStart"/>
            <w:r w:rsidRPr="005F663B">
              <w:rPr>
                <w:rFonts w:ascii="Arial" w:hAnsi="Arial" w:cs="Arial"/>
                <w:sz w:val="20"/>
                <w:szCs w:val="20"/>
              </w:rPr>
              <w:t>entity maintained</w:t>
            </w:r>
            <w:proofErr w:type="gramEnd"/>
            <w:r w:rsidRPr="005F663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Public sector entity is defined in Schedule 2 of the Act. </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All building work covered by QDC MP1.4 is excluded from this provision.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72"/>
        <w:gridCol w:w="8846"/>
        <w:gridCol w:w="1660"/>
        <w:gridCol w:w="3907"/>
      </w:tblGrid>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provisions under this heading only apply if:</w:t>
                  </w:r>
                </w:p>
                <w:p w:rsidR="007372F1" w:rsidRPr="005F663B" w:rsidRDefault="007372F1" w:rsidP="003C1515">
                  <w:pPr>
                    <w:numPr>
                      <w:ilvl w:val="0"/>
                      <w:numId w:val="12"/>
                    </w:numPr>
                    <w:rPr>
                      <w:rFonts w:ascii="Arial" w:hAnsi="Arial" w:cs="Arial"/>
                      <w:sz w:val="20"/>
                      <w:szCs w:val="20"/>
                    </w:rPr>
                  </w:pPr>
                  <w:r w:rsidRPr="005F663B">
                    <w:rPr>
                      <w:rFonts w:ascii="Arial" w:hAnsi="Arial" w:cs="Arial"/>
                      <w:sz w:val="20"/>
                      <w:szCs w:val="20"/>
                    </w:rPr>
                    <w:t>the development is for, or incorporates:</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reconfiguring a lot for a community title scheme creating 1 or more vacant lots;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2 or more sole occupancy units on the same lot, or within the same community titles scheme;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lastRenderedPageBreak/>
                    <w:t>material change of use for a Tourist park</w:t>
                  </w:r>
                  <w:r w:rsidRPr="005F663B">
                    <w:rPr>
                      <w:rFonts w:ascii="Arial"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F663B">
                      <w:rPr>
                        <w:rStyle w:val="Hyperlink"/>
                        <w:rFonts w:ascii="Arial" w:hAnsi="Arial" w:cs="Arial"/>
                        <w:sz w:val="20"/>
                        <w:szCs w:val="20"/>
                        <w:vertAlign w:val="superscript"/>
                      </w:rPr>
                      <w:t>84</w:t>
                    </w:r>
                  </w:hyperlink>
                  <w:r w:rsidRPr="005F663B">
                    <w:rPr>
                      <w:rFonts w:ascii="Arial" w:hAnsi="Arial" w:cs="Arial"/>
                      <w:sz w:val="20"/>
                      <w:szCs w:val="20"/>
                      <w:vertAlign w:val="superscript"/>
                    </w:rPr>
                    <w:t>)</w:t>
                  </w:r>
                  <w:r w:rsidRPr="005F663B">
                    <w:rPr>
                      <w:rFonts w:ascii="Arial" w:hAnsi="Arial" w:cs="Arial"/>
                      <w:sz w:val="20"/>
                      <w:szCs w:val="20"/>
                    </w:rPr>
                    <w:t xml:space="preserve"> with accommodation in the form of caravans or tents;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outdoor sales</w:t>
                  </w:r>
                  <w:r w:rsidRPr="005F663B">
                    <w:rPr>
                      <w:rFonts w:ascii="Arial"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F663B">
                      <w:rPr>
                        <w:rStyle w:val="Hyperlink"/>
                        <w:rFonts w:ascii="Arial" w:hAnsi="Arial" w:cs="Arial"/>
                        <w:sz w:val="20"/>
                        <w:szCs w:val="20"/>
                        <w:vertAlign w:val="superscript"/>
                      </w:rPr>
                      <w:t>54</w:t>
                    </w:r>
                  </w:hyperlink>
                  <w:r w:rsidRPr="005F663B">
                    <w:rPr>
                      <w:rFonts w:ascii="Arial" w:hAnsi="Arial" w:cs="Arial"/>
                      <w:sz w:val="20"/>
                      <w:szCs w:val="20"/>
                      <w:vertAlign w:val="superscript"/>
                    </w:rPr>
                    <w:t>)</w:t>
                  </w:r>
                  <w:r w:rsidRPr="005F663B">
                    <w:rPr>
                      <w:rFonts w:ascii="Arial" w:hAnsi="Arial" w:cs="Arial"/>
                      <w:sz w:val="20"/>
                      <w:szCs w:val="20"/>
                    </w:rPr>
                    <w:t>, outdoor processing or outdoor storage where involving combustible materials.</w:t>
                  </w:r>
                </w:p>
                <w:p w:rsidR="007372F1" w:rsidRPr="005F663B" w:rsidRDefault="007372F1" w:rsidP="003C1515">
                  <w:pPr>
                    <w:rPr>
                      <w:rFonts w:ascii="Arial" w:hAnsi="Arial" w:cs="Arial"/>
                      <w:sz w:val="20"/>
                      <w:szCs w:val="20"/>
                    </w:rPr>
                  </w:pPr>
                  <w:r w:rsidRPr="005F663B">
                    <w:rPr>
                      <w:rFonts w:ascii="Arial" w:hAnsi="Arial" w:cs="Arial"/>
                      <w:sz w:val="20"/>
                      <w:szCs w:val="20"/>
                    </w:rPr>
                    <w:t>AND</w:t>
                  </w:r>
                </w:p>
                <w:p w:rsidR="007372F1" w:rsidRPr="005F663B" w:rsidRDefault="007372F1" w:rsidP="003C1515">
                  <w:pPr>
                    <w:numPr>
                      <w:ilvl w:val="0"/>
                      <w:numId w:val="13"/>
                    </w:numPr>
                    <w:rPr>
                      <w:rFonts w:ascii="Arial" w:hAnsi="Arial" w:cs="Arial"/>
                      <w:sz w:val="20"/>
                      <w:szCs w:val="20"/>
                    </w:rPr>
                  </w:pPr>
                  <w:r w:rsidRPr="005F663B">
                    <w:rPr>
                      <w:rFonts w:ascii="Arial" w:hAnsi="Arial" w:cs="Arial"/>
                      <w:sz w:val="20"/>
                      <w:szCs w:val="20"/>
                    </w:rPr>
                    <w:t>none of the following exceptions apply:</w:t>
                  </w:r>
                </w:p>
                <w:p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 xml:space="preserve">the distributor-retailer for the area has indicated, in its </w:t>
                  </w:r>
                  <w:proofErr w:type="spellStart"/>
                  <w:r w:rsidRPr="005F663B">
                    <w:rPr>
                      <w:rFonts w:ascii="Arial" w:hAnsi="Arial" w:cs="Arial"/>
                      <w:sz w:val="20"/>
                      <w:szCs w:val="20"/>
                    </w:rPr>
                    <w:t>netserv</w:t>
                  </w:r>
                  <w:proofErr w:type="spellEnd"/>
                  <w:r w:rsidRPr="005F663B">
                    <w:rPr>
                      <w:rFonts w:ascii="Arial" w:hAnsi="Arial" w:cs="Arial"/>
                      <w:sz w:val="20"/>
                      <w:szCs w:val="20"/>
                    </w:rPr>
                    <w:t xml:space="preserve"> plan, that the premises will not be served by that entity’s reticulated water supply; or</w:t>
                  </w:r>
                </w:p>
                <w:p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External fire hydrant facilities are provided on site to the standard prescribed under the relevant parts of </w:t>
            </w:r>
            <w:r w:rsidRPr="005F663B">
              <w:rPr>
                <w:rFonts w:ascii="Arial" w:hAnsi="Arial" w:cs="Arial"/>
                <w:i/>
                <w:iCs/>
                <w:sz w:val="20"/>
                <w:szCs w:val="20"/>
              </w:rPr>
              <w:t>Australian Standard AS 2419.1 (2005) – Fire Hydrant Installations</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For this requirement for accepted development, the following are the relevant parts of AS 2419.1 (2005):</w:t>
                  </w:r>
                </w:p>
                <w:p w:rsidR="007372F1" w:rsidRPr="00C90522" w:rsidRDefault="007372F1" w:rsidP="003C1515">
                  <w:pPr>
                    <w:numPr>
                      <w:ilvl w:val="0"/>
                      <w:numId w:val="14"/>
                    </w:numPr>
                    <w:rPr>
                      <w:rFonts w:ascii="Arial" w:hAnsi="Arial" w:cs="Arial"/>
                      <w:sz w:val="18"/>
                      <w:szCs w:val="20"/>
                    </w:rPr>
                  </w:pPr>
                  <w:r w:rsidRPr="00C90522">
                    <w:rPr>
                      <w:rFonts w:ascii="Arial" w:hAnsi="Arial" w:cs="Arial"/>
                      <w:sz w:val="18"/>
                      <w:szCs w:val="20"/>
                    </w:rPr>
                    <w:t>in regard to the form of any fire hydrant - Part 8.5 and Part 3.2.2.1, with the exception that for Tourist parks</w:t>
                  </w:r>
                  <w:r w:rsidRPr="00C90522">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90522">
                      <w:rPr>
                        <w:rStyle w:val="Hyperlink"/>
                        <w:rFonts w:ascii="Arial" w:hAnsi="Arial" w:cs="Arial"/>
                        <w:sz w:val="18"/>
                        <w:szCs w:val="20"/>
                        <w:vertAlign w:val="superscript"/>
                      </w:rPr>
                      <w:t>84</w:t>
                    </w:r>
                  </w:hyperlink>
                  <w:r w:rsidRPr="00C90522">
                    <w:rPr>
                      <w:rFonts w:ascii="Arial" w:hAnsi="Arial" w:cs="Arial"/>
                      <w:sz w:val="18"/>
                      <w:szCs w:val="20"/>
                      <w:vertAlign w:val="superscript"/>
                    </w:rPr>
                    <w:t>)</w:t>
                  </w:r>
                  <w:r w:rsidRPr="00C90522">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7372F1" w:rsidRPr="00C90522" w:rsidRDefault="007372F1" w:rsidP="003C1515">
                  <w:pPr>
                    <w:numPr>
                      <w:ilvl w:val="0"/>
                      <w:numId w:val="14"/>
                    </w:numPr>
                    <w:rPr>
                      <w:rFonts w:ascii="Arial" w:hAnsi="Arial" w:cs="Arial"/>
                      <w:sz w:val="18"/>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the general locational requirements for fire hydrants - Part 3.2.2.2 (a), (e), (f), (g) and (h) as well as Appendix B of AS 2419.1 (2005);</w:t>
                  </w:r>
                </w:p>
                <w:p w:rsidR="007372F1" w:rsidRPr="00C90522" w:rsidRDefault="007372F1" w:rsidP="003C1515">
                  <w:pPr>
                    <w:numPr>
                      <w:ilvl w:val="0"/>
                      <w:numId w:val="14"/>
                    </w:numPr>
                    <w:rPr>
                      <w:rFonts w:ascii="Arial" w:hAnsi="Arial" w:cs="Arial"/>
                      <w:sz w:val="18"/>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the proximity of hydrants to buildings and other facilities - Part 3.2.2.2 (b), (c) and (d), with the exception that:</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dwellings and their associated outbuildings, hydrant coverage need only extend to the roof and external walls of those buildings;</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caravans and tents, hydrant coverage need only extend to the roof of those tents and caravans;</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outdoor sales</w:t>
                  </w:r>
                  <w:r w:rsidRPr="00C90522">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processing or storage facilities, hydrant coverage is required across the entire area of the outdoor sales</w:t>
                  </w:r>
                  <w:r w:rsidRPr="00C90522">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outdoor processing and outdoor storage facilities; and</w:t>
                  </w:r>
                </w:p>
                <w:p w:rsidR="007372F1" w:rsidRPr="005F663B" w:rsidRDefault="007372F1" w:rsidP="003C1515">
                  <w:pPr>
                    <w:numPr>
                      <w:ilvl w:val="0"/>
                      <w:numId w:val="14"/>
                    </w:numPr>
                    <w:rPr>
                      <w:rFonts w:ascii="Arial" w:hAnsi="Arial" w:cs="Arial"/>
                      <w:sz w:val="20"/>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fire hydrant accessibility and clearance requirements - Part 3.5 and where applicable, Part 3.6.</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RAD41</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width of no less than 3.5m;</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height of no less than 4.8m;</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constructed to be readily traversed by a 17 tonne HRV fire brigade pumping appliance;</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area for a fire brigade pumping appliance to stand within 20m of each fire hydrant and 8m of each hydrant booster point.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RAD42</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On-site fire hydrant facilities are maintained in effective operating order in a manner prescribed in </w:t>
            </w:r>
            <w:r w:rsidRPr="005F663B">
              <w:rPr>
                <w:rFonts w:ascii="Arial" w:hAnsi="Arial" w:cs="Arial"/>
                <w:i/>
                <w:iCs/>
                <w:sz w:val="20"/>
                <w:szCs w:val="20"/>
              </w:rPr>
              <w:t>Australian Standard AS1851 (2012) – Routine service of fire protection systems and equipment</w:t>
            </w:r>
            <w:r w:rsidRPr="005F663B">
              <w:rPr>
                <w:rFonts w:ascii="Arial" w:hAnsi="Arial" w:cs="Arial"/>
                <w:sz w:val="20"/>
                <w:szCs w:val="20"/>
              </w:rPr>
              <w: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RAD43</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For development that contains on-site fire hydrants external to buildings:</w:t>
            </w:r>
          </w:p>
          <w:p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those external hydrants can be seen from the vehicular entry point to the site; or</w:t>
            </w:r>
          </w:p>
          <w:p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a sign identifying the following is provided at the vehicular entry point to the site:</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overall layout of the development (to scale);</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internal road names (where used);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all communal facilities (where provided);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reception area and on-site manager’s office (where provided);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external hydrants and hydrant booster points;</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The sign prescribed above, and the graphics used are to be:</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in a form;</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of a size;</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illuminated to a level;</w:t>
                  </w:r>
                </w:p>
                <w:p w:rsidR="007372F1" w:rsidRPr="005F663B" w:rsidRDefault="007372F1" w:rsidP="003C1515">
                  <w:pPr>
                    <w:rPr>
                      <w:rFonts w:ascii="Arial" w:hAnsi="Arial" w:cs="Arial"/>
                      <w:sz w:val="20"/>
                      <w:szCs w:val="20"/>
                    </w:rPr>
                  </w:pPr>
                  <w:r w:rsidRPr="00C90522">
                    <w:rPr>
                      <w:rFonts w:ascii="Arial" w:hAnsi="Arial" w:cs="Arial"/>
                      <w:sz w:val="18"/>
                      <w:szCs w:val="20"/>
                    </w:rPr>
                    <w:t xml:space="preserve">which allows the information on the sign to be readily understood, </w:t>
                  </w:r>
                  <w:proofErr w:type="gramStart"/>
                  <w:r w:rsidRPr="00C90522">
                    <w:rPr>
                      <w:rFonts w:ascii="Arial" w:hAnsi="Arial" w:cs="Arial"/>
                      <w:sz w:val="18"/>
                      <w:szCs w:val="20"/>
                    </w:rPr>
                    <w:t>at all times</w:t>
                  </w:r>
                  <w:proofErr w:type="gramEnd"/>
                  <w:r w:rsidRPr="00C90522">
                    <w:rPr>
                      <w:rFonts w:ascii="Arial" w:hAnsi="Arial" w:cs="Arial"/>
                      <w:sz w:val="18"/>
                      <w:szCs w:val="20"/>
                    </w:rPr>
                    <w:t>, by a person in a fire fighting appliance up to 4.5m from the sign.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RAD44</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F663B">
              <w:rPr>
                <w:rFonts w:ascii="Arial" w:hAnsi="Arial" w:cs="Arial"/>
                <w:i/>
                <w:iCs/>
                <w:sz w:val="20"/>
                <w:szCs w:val="20"/>
              </w:rPr>
              <w:t>Fire hydrant indication system</w:t>
            </w:r>
            <w:r w:rsidRPr="005F663B">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Technical note Fire hydrant indication system is available on the website of the Queensland Department of Transport and Main Roads.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Use specific requirements</w:t>
            </w:r>
          </w:p>
        </w:tc>
      </w:tr>
      <w:tr w:rsidR="007372F1" w:rsidRPr="005F663B"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Home Based Business</w:t>
            </w:r>
            <w:r w:rsidRPr="005F663B">
              <w:rPr>
                <w:rFonts w:ascii="Arial" w:hAnsi="Arial" w:cs="Arial"/>
                <w:sz w:val="20"/>
                <w:szCs w:val="20"/>
                <w:vertAlign w:val="superscript"/>
              </w:rPr>
              <w:t>(</w:t>
            </w:r>
            <w:hyperlink r:id="rId13"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p>
        </w:tc>
        <w:tc>
          <w:tcPr>
            <w:tcW w:w="526"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are fully enclosed within the existing dwelling or on-site structure.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RAD46</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 maximum of 1 employee (not a resident) OR 2 customers OR customers from within 1 Small rigid vehicle (SRV) or smaller are permitted on the site at any one time.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RAD47</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Service and delivery vehicles do not exceed one Small rigid vehicle (SRV) at any one time.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Vehicle parking for the Home based business</w:t>
            </w:r>
            <w:r w:rsidRPr="005F663B">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on-site is limited to 1 car or Small rigid vehicle (SRV).</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occupy an area of the existing dwelling or on-site structure not greater than 40m</w:t>
            </w:r>
            <w:r w:rsidRPr="005F663B">
              <w:rPr>
                <w:rFonts w:ascii="Arial" w:hAnsi="Arial" w:cs="Arial"/>
                <w:sz w:val="20"/>
                <w:szCs w:val="20"/>
                <w:vertAlign w:val="superscript"/>
              </w:rPr>
              <w:t xml:space="preserve">2 </w:t>
            </w:r>
            <w:r w:rsidRPr="005F663B">
              <w:rPr>
                <w:rFonts w:ascii="Arial" w:hAnsi="Arial" w:cs="Arial"/>
                <w:sz w:val="20"/>
                <w:szCs w:val="20"/>
              </w:rPr>
              <w:t>gross floor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7"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do not involve manufacturing.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Food businesses that are licensable by local government and only involve the manufacturing of non-potentially hazardous food are permitted.  Definitions in the Food Act 2006 apply to this note.</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87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Activities associated with the use do not cause an environmental nuisance by way of aerosols, fumes, light, noise, odour, particles or smoke.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Nuisance is defined in the Environmental Protection Act 1994.</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RAD52</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amenity of the area and adjacent sensitive land uses are protected from the impacts of dust, odour, noise, light, chemicals and other environmental nuisances.</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RAD53</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hours of operation do not exceed 8:00am to 6:00pm, Monday to Saturday and are not open to the public on Sunday's, Christmas Day, Good Friday and Anzac Day.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Office</w:t>
                  </w:r>
                  <w:r w:rsidRPr="00C90522">
                    <w:rPr>
                      <w:rFonts w:ascii="Arial" w:hAnsi="Arial" w:cs="Arial"/>
                      <w:sz w:val="18"/>
                      <w:szCs w:val="20"/>
                      <w:vertAlign w:val="superscript"/>
                    </w:rPr>
                    <w:t>(</w:t>
                  </w:r>
                  <w:hyperlink r:id="rId1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90522">
                      <w:rPr>
                        <w:rStyle w:val="Hyperlink"/>
                        <w:rFonts w:ascii="Arial" w:hAnsi="Arial" w:cs="Arial"/>
                        <w:sz w:val="18"/>
                        <w:szCs w:val="20"/>
                        <w:vertAlign w:val="superscript"/>
                      </w:rPr>
                      <w:t>53</w:t>
                    </w:r>
                  </w:hyperlink>
                  <w:r w:rsidRPr="00C90522">
                    <w:rPr>
                      <w:rFonts w:ascii="Arial" w:hAnsi="Arial" w:cs="Arial"/>
                      <w:sz w:val="18"/>
                      <w:szCs w:val="20"/>
                      <w:vertAlign w:val="superscript"/>
                    </w:rPr>
                    <w:t>)</w:t>
                  </w:r>
                  <w:r w:rsidRPr="00C90522">
                    <w:rPr>
                      <w:rFonts w:ascii="Arial" w:hAnsi="Arial" w:cs="Arial"/>
                      <w:sz w:val="18"/>
                      <w:szCs w:val="20"/>
                    </w:rPr>
                    <w:t xml:space="preserve"> or administrative activities that do not generate non-residents visiting the site, such as book-keeping and computer work, may operate outside the hours of operation.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234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RAD54</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For a bed and breakfast, the use:</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is fully contained within the existing dwelling on-site;</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occupies a maximum of 2 bedrooms;</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includes the provision of a minimum of 1 meal per day;</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accommodates a maximum of 6 people at any one time.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For a Bed and Breakfast SO30 - SO38 above do not apply.</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Community activities</w:t>
            </w:r>
          </w:p>
        </w:tc>
        <w:tc>
          <w:tcPr>
            <w:tcW w:w="526"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provides car parking spaces in accordance with Schedule 7 - Car parking; or retails the number of car parking spaces currently provided on the site (except where the reduction is required for the provision of cycle parking), whichever is the greater.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RAD56</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Car parking spaces (other than existing spaces) are not located in front of the main building line.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RAD57</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bins and bin storage areas are provided, designed and managed in accordance with Planning scheme policy - Waste.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it does not result in a reduction in the amount or standard of established landscaping on-site.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147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w:t>
            </w:r>
          </w:p>
          <w:p w:rsidR="007372F1" w:rsidRPr="005F663B" w:rsidRDefault="007372F1" w:rsidP="003C1515">
            <w:pPr>
              <w:rPr>
                <w:rFonts w:ascii="Arial" w:hAnsi="Arial" w:cs="Arial"/>
                <w:sz w:val="20"/>
                <w:szCs w:val="20"/>
              </w:rPr>
            </w:pPr>
            <w:r w:rsidRPr="005F663B">
              <w:rPr>
                <w:rFonts w:ascii="Arial" w:hAnsi="Arial" w:cs="Arial"/>
                <w:sz w:val="20"/>
                <w:szCs w:val="20"/>
              </w:rPr>
              <w:t>maximum values of light technical parameters for the control of obtrusive light given in Table2.1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Hours of operation do not exceed 6:00am to 9:00pm Monday to Sunday.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Editor's note - In accordance with the Federal legislation Telecommunications facilities</w:t>
                  </w:r>
                  <w:r w:rsidRPr="005F663B">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RAD61</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minimum area of 45m</w:t>
            </w:r>
            <w:r w:rsidRPr="005F663B">
              <w:rPr>
                <w:rFonts w:ascii="Arial" w:hAnsi="Arial" w:cs="Arial"/>
                <w:sz w:val="20"/>
                <w:szCs w:val="20"/>
                <w:vertAlign w:val="superscript"/>
              </w:rPr>
              <w:t>2</w:t>
            </w:r>
            <w:r w:rsidRPr="005F663B">
              <w:rPr>
                <w:rFonts w:ascii="Arial" w:hAnsi="Arial" w:cs="Arial"/>
                <w:sz w:val="20"/>
                <w:szCs w:val="20"/>
              </w:rPr>
              <w:t xml:space="preserve"> is available to allow for additional equipment shelters and associated structures for the purpose of co-locating on the proposed facility.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RAD62</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RAD63</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Equipment shelters and associated structures are located:</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directly beside the existing equipment shelter and associated structures;</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behind the main building line;</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further away from the frontage than the existing equipment shelter and associated structures;</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a minimum of 10m from side and rear boundaries, except where in the Industry and Extractive industry zones, the minimum side and rear setback is 3m.</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RAD64</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Equipment shelters and other associated structures are either the same type of colour or material to match the surrounding locality.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RAD65</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The facility is enclosed by security fencing or by other means to ensure public access is prohibited.</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RAD66</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Landscaping is provided in accordance with Planning scheme policy - Integrated design.</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Council may require a detailed landscaping plan, prepared by a suitably qualified person to ensure compliance with Planning scheme policy - Integrated design.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RAD67</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All equipment comprising the telecommunications facility</w:t>
            </w:r>
            <w:r w:rsidRPr="005F663B">
              <w:rPr>
                <w:rFonts w:ascii="Arial" w:hAnsi="Arial" w:cs="Arial"/>
                <w:sz w:val="20"/>
                <w:szCs w:val="20"/>
                <w:vertAlign w:val="superscript"/>
              </w:rPr>
              <w:t>(</w:t>
            </w:r>
            <w:hyperlink r:id="rId2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jc w:val="center"/>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Note - Planning scheme policy - Acid sulfate soils </w:t>
                  </w:r>
                  <w:proofErr w:type="gramStart"/>
                  <w:r w:rsidRPr="005F663B">
                    <w:rPr>
                      <w:rFonts w:ascii="Arial" w:hAnsi="Arial" w:cs="Arial"/>
                      <w:sz w:val="20"/>
                      <w:szCs w:val="20"/>
                    </w:rPr>
                    <w:t>provides</w:t>
                  </w:r>
                  <w:proofErr w:type="gramEnd"/>
                  <w:r w:rsidRPr="005F663B">
                    <w:rPr>
                      <w:rFonts w:ascii="Arial" w:hAnsi="Arial" w:cs="Arial"/>
                      <w:sz w:val="20"/>
                      <w:szCs w:val="20"/>
                    </w:rPr>
                    <w:t xml:space="preserve"> guidance for requirements for accepted development that has the potential to disturb acid sulfate soils i.e. development involving filling or excavation works below the thresholds of 100m</w:t>
                  </w:r>
                  <w:r w:rsidRPr="005F663B">
                    <w:rPr>
                      <w:rFonts w:ascii="Arial" w:hAnsi="Arial" w:cs="Arial"/>
                      <w:sz w:val="20"/>
                      <w:szCs w:val="20"/>
                      <w:vertAlign w:val="superscript"/>
                    </w:rPr>
                    <w:t>3</w:t>
                  </w:r>
                  <w:r w:rsidRPr="005F663B">
                    <w:rPr>
                      <w:rFonts w:ascii="Arial" w:hAnsi="Arial" w:cs="Arial"/>
                      <w:sz w:val="20"/>
                      <w:szCs w:val="20"/>
                    </w:rPr>
                    <w:t xml:space="preserve"> and 500m</w:t>
                  </w:r>
                  <w:r w:rsidRPr="005F663B">
                    <w:rPr>
                      <w:rFonts w:ascii="Arial" w:hAnsi="Arial" w:cs="Arial"/>
                      <w:sz w:val="20"/>
                      <w:szCs w:val="20"/>
                      <w:vertAlign w:val="superscript"/>
                    </w:rPr>
                    <w:t>3</w:t>
                  </w:r>
                  <w:r w:rsidRPr="005F663B">
                    <w:rPr>
                      <w:rFonts w:ascii="Arial" w:hAnsi="Arial" w:cs="Arial"/>
                      <w:sz w:val="20"/>
                      <w:szCs w:val="20"/>
                    </w:rPr>
                    <w:t xml:space="preserve"> respectively.</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involve:</w:t>
            </w:r>
          </w:p>
          <w:p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t>excavation or otherwise removing of more than 100m</w:t>
            </w:r>
            <w:r w:rsidRPr="005F663B">
              <w:rPr>
                <w:rFonts w:ascii="Arial" w:hAnsi="Arial" w:cs="Arial"/>
                <w:sz w:val="20"/>
                <w:szCs w:val="20"/>
                <w:vertAlign w:val="superscript"/>
              </w:rPr>
              <w:t>3</w:t>
            </w:r>
            <w:r w:rsidRPr="005F663B">
              <w:rPr>
                <w:rFonts w:ascii="Arial" w:hAnsi="Arial" w:cs="Arial"/>
                <w:sz w:val="20"/>
                <w:szCs w:val="20"/>
              </w:rPr>
              <w:t xml:space="preserve"> of soil or sediment where below 5m Australian Height Datum AHD, or</w:t>
            </w:r>
          </w:p>
          <w:p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t>filling of land of more than 500m</w:t>
            </w:r>
            <w:r w:rsidRPr="005F663B">
              <w:rPr>
                <w:rFonts w:ascii="Arial" w:hAnsi="Arial" w:cs="Arial"/>
                <w:sz w:val="20"/>
                <w:szCs w:val="20"/>
                <w:vertAlign w:val="superscript"/>
              </w:rPr>
              <w:t>3</w:t>
            </w:r>
            <w:r w:rsidRPr="005F663B">
              <w:rPr>
                <w:rFonts w:ascii="Arial" w:hAnsi="Arial" w:cs="Arial"/>
                <w:sz w:val="20"/>
                <w:szCs w:val="20"/>
              </w:rPr>
              <w:t xml:space="preserve"> of material with an average depth of 0.5m or greater where below the 5m AHD.</w:t>
            </w:r>
          </w:p>
          <w:p w:rsidR="007372F1" w:rsidRPr="005F663B" w:rsidRDefault="007372F1" w:rsidP="003C1515">
            <w:pPr>
              <w:rPr>
                <w:rFonts w:ascii="Arial" w:hAnsi="Arial" w:cs="Arial"/>
                <w:sz w:val="20"/>
                <w:szCs w:val="20"/>
              </w:rPr>
            </w:pPr>
            <w:r w:rsidRPr="005F663B">
              <w:rPr>
                <w:rFonts w:ascii="Arial" w:hAnsi="Arial" w:cs="Arial"/>
                <w:noProof/>
                <w:sz w:val="20"/>
                <w:szCs w:val="20"/>
              </w:rPr>
              <w:drawing>
                <wp:inline distT="0" distB="0" distL="0" distR="0" wp14:anchorId="4135410A" wp14:editId="330CE730">
                  <wp:extent cx="4857750" cy="2047875"/>
                  <wp:effectExtent l="0" t="0" r="0" b="9525"/>
                  <wp:docPr id="51" name="ID-2693388-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8-156"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following are excluded from the native clearing provisions of this planning scheme: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lastRenderedPageBreak/>
                    <w:t>Clearing of native vegetation located within an approved development footprint;</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associated with removal of recognised weed species, maintaining existing open pastures and cropping land, windbreaks, lawns or created gardens;</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Grazing of native pasture by stock;</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 xml:space="preserve">Native forest practice where accepted </w:t>
                  </w:r>
                  <w:proofErr w:type="gramStart"/>
                  <w:r w:rsidRPr="005F663B">
                    <w:rPr>
                      <w:rFonts w:ascii="Arial" w:hAnsi="Arial" w:cs="Arial"/>
                      <w:sz w:val="20"/>
                      <w:szCs w:val="20"/>
                    </w:rPr>
                    <w:t>development  under</w:t>
                  </w:r>
                  <w:proofErr w:type="gramEnd"/>
                  <w:r w:rsidRPr="005F663B">
                    <w:rPr>
                      <w:rFonts w:ascii="Arial" w:hAnsi="Arial" w:cs="Arial"/>
                      <w:sz w:val="20"/>
                      <w:szCs w:val="20"/>
                    </w:rPr>
                    <w:t xml:space="preserve"> Part 1, 1.7.7 Accepted development.</w:t>
                  </w:r>
                </w:p>
              </w:tc>
            </w:tr>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 xml:space="preserve">Note - Definition for native vegetation </w:t>
                  </w:r>
                  <w:proofErr w:type="gramStart"/>
                  <w:r w:rsidRPr="005F663B">
                    <w:rPr>
                      <w:rFonts w:ascii="Arial" w:hAnsi="Arial" w:cs="Arial"/>
                      <w:sz w:val="20"/>
                      <w:szCs w:val="20"/>
                    </w:rPr>
                    <w:t>is located in</w:t>
                  </w:r>
                  <w:proofErr w:type="gramEnd"/>
                  <w:r w:rsidRPr="005F663B">
                    <w:rPr>
                      <w:rFonts w:ascii="Arial" w:hAnsi="Arial" w:cs="Arial"/>
                      <w:sz w:val="20"/>
                      <w:szCs w:val="20"/>
                    </w:rPr>
                    <w:t xml:space="preserve"> Schedule 1 Definitions.</w:t>
                  </w:r>
                </w:p>
              </w:tc>
            </w:tr>
          </w:tbl>
          <w:p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7372F1" w:rsidRPr="005F663B" w:rsidRDefault="007372F1" w:rsidP="003C1515">
                  <w:pPr>
                    <w:rPr>
                      <w:rFonts w:ascii="Arial" w:hAnsi="Arial" w:cs="Arial"/>
                      <w:sz w:val="20"/>
                      <w:szCs w:val="20"/>
                    </w:rPr>
                  </w:pPr>
                  <w:r w:rsidRPr="005F663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7372F1" w:rsidRPr="005F663B" w:rsidRDefault="007372F1" w:rsidP="003C1515">
                  <w:pPr>
                    <w:rPr>
                      <w:rFonts w:ascii="Arial" w:hAnsi="Arial" w:cs="Arial"/>
                      <w:sz w:val="20"/>
                      <w:szCs w:val="20"/>
                    </w:rPr>
                  </w:pPr>
                  <w:r w:rsidRPr="005F663B">
                    <w:rPr>
                      <w:rFonts w:ascii="Arial" w:hAnsi="Arial" w:cs="Arial"/>
                      <w:sz w:val="20"/>
                      <w:szCs w:val="20"/>
                    </w:rPr>
                    <w:t>Editors' Note - When clearing native vegetation within a MSES area, you may still require approval from the State government.</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no suitable land cleared of native vegetation exists, clearing of native vegetation in a High Value Area or Value Area is for the purpose of a new dwelling house</w:t>
            </w:r>
            <w:r w:rsidRPr="005F663B">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or extension to an existing dwelling house</w:t>
            </w:r>
            <w:r w:rsidRPr="005F663B">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only on lots less than 750m</w:t>
            </w:r>
            <w:r w:rsidRPr="005F663B">
              <w:rPr>
                <w:rFonts w:ascii="Arial" w:hAnsi="Arial" w:cs="Arial"/>
                <w:sz w:val="20"/>
                <w:szCs w:val="20"/>
                <w:vertAlign w:val="superscript"/>
              </w:rPr>
              <w:t>2</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Editor's note - See in heading above for other uses excluded from native vegetation clearing requirements.</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lastRenderedPageBreak/>
                    <w:t>co-locating all associated activities, infrastructure and access strips;</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be the least valued area of koala habitat on the site;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the footprint of the development envelope area;</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edge effects to areas external to the development envelope;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location and design consideration to ensure koala safety and movement in accordance with the Koala-sensitive Design Guideline and Planning scheme policy – Environmental areas;</w:t>
                  </w:r>
                </w:p>
                <w:p w:rsidR="007372F1" w:rsidRPr="00C90522" w:rsidRDefault="007372F1" w:rsidP="003C1515">
                  <w:pPr>
                    <w:numPr>
                      <w:ilvl w:val="0"/>
                      <w:numId w:val="22"/>
                    </w:numPr>
                    <w:rPr>
                      <w:rFonts w:ascii="Arial" w:hAnsi="Arial" w:cs="Arial"/>
                      <w:sz w:val="18"/>
                      <w:szCs w:val="20"/>
                    </w:rPr>
                  </w:pPr>
                  <w:proofErr w:type="gramStart"/>
                  <w:r w:rsidRPr="00C90522">
                    <w:rPr>
                      <w:rFonts w:ascii="Arial" w:hAnsi="Arial" w:cs="Arial"/>
                      <w:sz w:val="18"/>
                      <w:szCs w:val="20"/>
                    </w:rPr>
                    <w:t>sufficient</w:t>
                  </w:r>
                  <w:proofErr w:type="gramEnd"/>
                  <w:r w:rsidRPr="00C90522">
                    <w:rPr>
                      <w:rFonts w:ascii="Arial" w:hAnsi="Arial" w:cs="Arial"/>
                      <w:sz w:val="18"/>
                      <w:szCs w:val="20"/>
                    </w:rPr>
                    <w:t xml:space="preserve"> area between the development and koala habitat trees to achieve their long-term viability.</w:t>
                  </w:r>
                </w:p>
              </w:tc>
            </w:tr>
          </w:tbl>
          <w:p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No clearing of native vegetation is to occur within the Value Offset Area MLES - Waterway buffer </w:t>
            </w:r>
            <w:proofErr w:type="gramStart"/>
            <w:r w:rsidRPr="005F663B">
              <w:rPr>
                <w:rFonts w:ascii="Arial" w:hAnsi="Arial" w:cs="Arial"/>
                <w:sz w:val="20"/>
                <w:szCs w:val="20"/>
              </w:rPr>
              <w:t>or  Value</w:t>
            </w:r>
            <w:proofErr w:type="gramEnd"/>
            <w:r w:rsidRPr="005F663B">
              <w:rPr>
                <w:rFonts w:ascii="Arial" w:hAnsi="Arial" w:cs="Arial"/>
                <w:sz w:val="20"/>
                <w:szCs w:val="20"/>
              </w:rPr>
              <w:t xml:space="preserve"> Offset Area MLES - Wetland buffer.</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the following:</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located within an approved development footprint;</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lastRenderedPageBreak/>
              <w:t>Clearing of native vegetation associated with removal of recognised weed species, maintaining existing open pastures and cropping land, windbreaks, lawns or created gardens;</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Grazing of native pasture by stock;</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is for the preservation, maintenance, repair and restoration of the site, object or building.</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Preservation, maintenance, repair and restoration are defined in Schedule 1 - Definitions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RAD72</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RAD73</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RAD74</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construction of any building;</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laying of overhead or underground services;</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sealing, paving, soil compaction;</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alteration of more than 75mm to the ground surface prior to work commencing.</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Pruning of a significant tree occurs in accordance with Australian Standard AS 4373-2007 - Pruning of Amenity Trees.</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Overland flow path (refer Overlay map - Overland flow path to determine if the following requirements apply)</w:t>
            </w: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RAD76</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does not involve the construction of a building or structure in an Overland flow path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RAD77</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C90522">
                    <w:rPr>
                      <w:rFonts w:ascii="Arial" w:hAnsi="Arial" w:cs="Arial"/>
                      <w:sz w:val="18"/>
                      <w:szCs w:val="20"/>
                    </w:rPr>
                    <w:t>.</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Reporting to be prepared in accordance with Planning scheme policy – Flood hazard, Coastal hazard and Overland flow</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RAD78</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ensures that fencing in an overland flow path area is at least 50% permeable.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RAD79</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RAD80</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for a Park</w:t>
            </w:r>
            <w:r w:rsidRPr="005F663B">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663B">
                <w:rPr>
                  <w:rStyle w:val="Hyperlink"/>
                  <w:rFonts w:ascii="Arial" w:hAnsi="Arial" w:cs="Arial"/>
                  <w:sz w:val="20"/>
                  <w:szCs w:val="20"/>
                  <w:vertAlign w:val="superscript"/>
                </w:rPr>
                <w:t>57</w:t>
              </w:r>
            </w:hyperlink>
            <w:r w:rsidRPr="005F663B">
              <w:rPr>
                <w:rFonts w:ascii="Arial" w:hAnsi="Arial" w:cs="Arial"/>
                <w:sz w:val="20"/>
                <w:szCs w:val="20"/>
                <w:vertAlign w:val="superscript"/>
              </w:rPr>
              <w:t>)</w:t>
            </w:r>
            <w:r w:rsidRPr="005F663B">
              <w:rPr>
                <w:rFonts w:ascii="Arial" w:hAnsi="Arial" w:cs="Arial"/>
                <w:sz w:val="20"/>
                <w:szCs w:val="20"/>
              </w:rPr>
              <w:t xml:space="preserve"> ensures that work is provided in accordance with the requirements set out in Appendix B of the Planning scheme policy - Integrated design.</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W1, W2 and W3 waterway and drainage lines, and wetlands are mapped on Schedule 2, Section 2.5 Overlay Maps – Riparian and wetland setbacks.</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RAD81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development is to occur within:</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50m from top of bank for W1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30m from top of bank for W2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20m from top of bank for W3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W1, W2 and W3 waterways and drainage lines, and wetlands are mapped on Schedule 2, Section 2.5 Overlay Maps – Riparian and wetland setbacks.</w:t>
                  </w:r>
                </w:p>
              </w:tc>
            </w:tr>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The minimum setback distance applies to </w:t>
                  </w:r>
                  <w:proofErr w:type="gramStart"/>
                  <w:r w:rsidRPr="00C90522">
                    <w:rPr>
                      <w:rFonts w:ascii="Arial" w:hAnsi="Arial" w:cs="Arial"/>
                      <w:sz w:val="18"/>
                      <w:szCs w:val="20"/>
                    </w:rPr>
                    <w:t>the each</w:t>
                  </w:r>
                  <w:proofErr w:type="gramEnd"/>
                  <w:r w:rsidRPr="00C90522">
                    <w:rPr>
                      <w:rFonts w:ascii="Arial" w:hAnsi="Arial" w:cs="Arial"/>
                      <w:sz w:val="18"/>
                      <w:szCs w:val="20"/>
                    </w:rPr>
                    <w:t xml:space="preserve"> side of waterway.</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Transport noise corridors (refer Overlay map - Transport noise corridors)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7372F1" w:rsidRPr="005F663B" w:rsidRDefault="007372F1" w:rsidP="003C1515">
            <w:pPr>
              <w:rPr>
                <w:rFonts w:ascii="Arial" w:hAnsi="Arial" w:cs="Arial"/>
                <w:b/>
                <w:bCs/>
                <w:sz w:val="20"/>
                <w:szCs w:val="20"/>
              </w:rPr>
            </w:pPr>
          </w:p>
        </w:tc>
      </w:tr>
    </w:tbl>
    <w:p w:rsidR="001A0974" w:rsidRPr="005F663B" w:rsidRDefault="001A0974">
      <w:pPr>
        <w:rPr>
          <w:rFonts w:ascii="Arial" w:hAnsi="Arial" w:cs="Arial"/>
          <w:sz w:val="20"/>
          <w:szCs w:val="20"/>
        </w:rPr>
      </w:pPr>
      <w:bookmarkStart w:id="0" w:name="_GoBack"/>
      <w:bookmarkEnd w:id="0"/>
    </w:p>
    <w:sectPr w:rsidR="001A0974" w:rsidRPr="005F663B" w:rsidSect="007372F1">
      <w:foot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740" w:rsidRDefault="00CC1740" w:rsidP="005F663B">
      <w:pPr>
        <w:spacing w:after="0" w:line="240" w:lineRule="auto"/>
      </w:pPr>
      <w:r>
        <w:separator/>
      </w:r>
    </w:p>
  </w:endnote>
  <w:endnote w:type="continuationSeparator" w:id="0">
    <w:p w:rsidR="00CC1740" w:rsidRDefault="00CC1740" w:rsidP="005F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5F663B" w:rsidRPr="005F663B" w:rsidRDefault="005F663B" w:rsidP="005F663B">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837D65">
          <w:rPr>
            <w:rFonts w:ascii="Arial" w:hAnsi="Arial" w:cs="Arial"/>
            <w:i/>
            <w:sz w:val="20"/>
            <w:szCs w:val="20"/>
          </w:rPr>
          <w:t>6</w:t>
        </w:r>
        <w:r w:rsidRPr="00F65D35">
          <w:rPr>
            <w:rFonts w:ascii="Arial" w:hAnsi="Arial" w:cs="Arial"/>
            <w:i/>
            <w:sz w:val="20"/>
            <w:szCs w:val="20"/>
          </w:rPr>
          <w:t xml:space="preserve"> - </w:t>
        </w:r>
        <w:r>
          <w:rPr>
            <w:rFonts w:ascii="Arial" w:hAnsi="Arial" w:cs="Arial"/>
            <w:i/>
            <w:sz w:val="20"/>
            <w:szCs w:val="20"/>
          </w:rPr>
          <w:t>Redcliffe Kippa-Ring local plan - Interim residential precinct</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740" w:rsidRDefault="00CC1740" w:rsidP="005F663B">
      <w:pPr>
        <w:spacing w:after="0" w:line="240" w:lineRule="auto"/>
      </w:pPr>
      <w:r>
        <w:separator/>
      </w:r>
    </w:p>
  </w:footnote>
  <w:footnote w:type="continuationSeparator" w:id="0">
    <w:p w:rsidR="00CC1740" w:rsidRDefault="00CC1740" w:rsidP="005F6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79"/>
    <w:multiLevelType w:val="multilevel"/>
    <w:tmpl w:val="063EC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D50CB"/>
    <w:multiLevelType w:val="multilevel"/>
    <w:tmpl w:val="611CC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E8547D3"/>
    <w:multiLevelType w:val="multilevel"/>
    <w:tmpl w:val="6356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152B4"/>
    <w:multiLevelType w:val="multilevel"/>
    <w:tmpl w:val="1A1E7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886136"/>
    <w:multiLevelType w:val="multilevel"/>
    <w:tmpl w:val="277AD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1251D"/>
    <w:multiLevelType w:val="hybridMultilevel"/>
    <w:tmpl w:val="38E65D26"/>
    <w:lvl w:ilvl="0" w:tplc="BF8E48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773F"/>
    <w:multiLevelType w:val="multilevel"/>
    <w:tmpl w:val="1BAAA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93FAC"/>
    <w:multiLevelType w:val="multilevel"/>
    <w:tmpl w:val="E27E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BD2792"/>
    <w:multiLevelType w:val="multilevel"/>
    <w:tmpl w:val="9F50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639BB"/>
    <w:multiLevelType w:val="multilevel"/>
    <w:tmpl w:val="18AE0B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7198C"/>
    <w:multiLevelType w:val="multilevel"/>
    <w:tmpl w:val="903AA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034D43"/>
    <w:multiLevelType w:val="multilevel"/>
    <w:tmpl w:val="6D6C4F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092D19"/>
    <w:multiLevelType w:val="multilevel"/>
    <w:tmpl w:val="94CCC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E51915"/>
    <w:multiLevelType w:val="multilevel"/>
    <w:tmpl w:val="F6420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F4148"/>
    <w:multiLevelType w:val="multilevel"/>
    <w:tmpl w:val="4D761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2C1E95"/>
    <w:multiLevelType w:val="multilevel"/>
    <w:tmpl w:val="D5141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832EDC"/>
    <w:multiLevelType w:val="multilevel"/>
    <w:tmpl w:val="F7A65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020A9"/>
    <w:multiLevelType w:val="multilevel"/>
    <w:tmpl w:val="5F04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047B3"/>
    <w:multiLevelType w:val="multilevel"/>
    <w:tmpl w:val="9E7C8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26B3"/>
    <w:multiLevelType w:val="multilevel"/>
    <w:tmpl w:val="98BE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671959"/>
    <w:multiLevelType w:val="multilevel"/>
    <w:tmpl w:val="5AA00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FE7D6C"/>
    <w:multiLevelType w:val="multilevel"/>
    <w:tmpl w:val="B96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0D01CB"/>
    <w:multiLevelType w:val="multilevel"/>
    <w:tmpl w:val="FE9E95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1A7727"/>
    <w:multiLevelType w:val="multilevel"/>
    <w:tmpl w:val="AC663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E030C37"/>
    <w:multiLevelType w:val="multilevel"/>
    <w:tmpl w:val="77241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54203B"/>
    <w:multiLevelType w:val="multilevel"/>
    <w:tmpl w:val="65921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3"/>
  </w:num>
  <w:num w:numId="3">
    <w:abstractNumId w:val="22"/>
  </w:num>
  <w:num w:numId="4">
    <w:abstractNumId w:val="10"/>
  </w:num>
  <w:num w:numId="5">
    <w:abstractNumId w:val="19"/>
  </w:num>
  <w:num w:numId="6">
    <w:abstractNumId w:val="16"/>
  </w:num>
  <w:num w:numId="7">
    <w:abstractNumId w:val="17"/>
  </w:num>
  <w:num w:numId="8">
    <w:abstractNumId w:val="26"/>
  </w:num>
  <w:num w:numId="9">
    <w:abstractNumId w:val="25"/>
  </w:num>
  <w:num w:numId="10">
    <w:abstractNumId w:val="21"/>
  </w:num>
  <w:num w:numId="11">
    <w:abstractNumId w:val="18"/>
  </w:num>
  <w:num w:numId="12">
    <w:abstractNumId w:val="12"/>
  </w:num>
  <w:num w:numId="13">
    <w:abstractNumId w:val="15"/>
  </w:num>
  <w:num w:numId="14">
    <w:abstractNumId w:val="3"/>
  </w:num>
  <w:num w:numId="15">
    <w:abstractNumId w:val="0"/>
  </w:num>
  <w:num w:numId="16">
    <w:abstractNumId w:val="23"/>
  </w:num>
  <w:num w:numId="17">
    <w:abstractNumId w:val="7"/>
  </w:num>
  <w:num w:numId="18">
    <w:abstractNumId w:val="11"/>
  </w:num>
  <w:num w:numId="19">
    <w:abstractNumId w:val="8"/>
  </w:num>
  <w:num w:numId="20">
    <w:abstractNumId w:val="14"/>
  </w:num>
  <w:num w:numId="21">
    <w:abstractNumId w:val="20"/>
  </w:num>
  <w:num w:numId="22">
    <w:abstractNumId w:val="1"/>
  </w:num>
  <w:num w:numId="23">
    <w:abstractNumId w:val="9"/>
  </w:num>
  <w:num w:numId="24">
    <w:abstractNumId w:val="24"/>
  </w:num>
  <w:num w:numId="25">
    <w:abstractNumId w:val="2"/>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5"/>
    <w:rsid w:val="001A0974"/>
    <w:rsid w:val="003C1515"/>
    <w:rsid w:val="005F663B"/>
    <w:rsid w:val="007372F1"/>
    <w:rsid w:val="00763568"/>
    <w:rsid w:val="007E56B3"/>
    <w:rsid w:val="00837D65"/>
    <w:rsid w:val="00C90522"/>
    <w:rsid w:val="00CC1740"/>
    <w:rsid w:val="00EB2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8E14"/>
  <w15:chartTrackingRefBased/>
  <w15:docId w15:val="{3E8E7879-9244-4C3A-B686-B51428C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15"/>
    <w:rPr>
      <w:color w:val="0563C1" w:themeColor="hyperlink"/>
      <w:u w:val="single"/>
    </w:rPr>
  </w:style>
  <w:style w:type="character" w:styleId="UnresolvedMention">
    <w:name w:val="Unresolved Mention"/>
    <w:basedOn w:val="DefaultParagraphFont"/>
    <w:uiPriority w:val="99"/>
    <w:semiHidden/>
    <w:unhideWhenUsed/>
    <w:rsid w:val="003C1515"/>
    <w:rPr>
      <w:color w:val="605E5C"/>
      <w:shd w:val="clear" w:color="auto" w:fill="E1DFDD"/>
    </w:rPr>
  </w:style>
  <w:style w:type="paragraph" w:styleId="BalloonText">
    <w:name w:val="Balloon Text"/>
    <w:basedOn w:val="Normal"/>
    <w:link w:val="BalloonTextChar"/>
    <w:uiPriority w:val="99"/>
    <w:semiHidden/>
    <w:unhideWhenUsed/>
    <w:rsid w:val="003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15"/>
    <w:rPr>
      <w:rFonts w:ascii="Segoe UI" w:hAnsi="Segoe UI" w:cs="Segoe UI"/>
      <w:sz w:val="18"/>
      <w:szCs w:val="18"/>
    </w:rPr>
  </w:style>
  <w:style w:type="paragraph" w:styleId="ListParagraph">
    <w:name w:val="List Paragraph"/>
    <w:basedOn w:val="Normal"/>
    <w:uiPriority w:val="34"/>
    <w:qFormat/>
    <w:rsid w:val="003C1515"/>
    <w:pPr>
      <w:spacing w:after="200" w:line="276" w:lineRule="auto"/>
      <w:ind w:left="720"/>
      <w:contextualSpacing/>
    </w:pPr>
    <w:rPr>
      <w:rFonts w:ascii="Arial" w:hAnsi="Arial"/>
    </w:rPr>
  </w:style>
  <w:style w:type="paragraph" w:styleId="NoSpacing">
    <w:name w:val="No Spacing"/>
    <w:uiPriority w:val="1"/>
    <w:qFormat/>
    <w:rsid w:val="007372F1"/>
    <w:pPr>
      <w:spacing w:after="0" w:line="240" w:lineRule="auto"/>
    </w:pPr>
  </w:style>
  <w:style w:type="paragraph" w:styleId="Header">
    <w:name w:val="header"/>
    <w:basedOn w:val="Normal"/>
    <w:link w:val="HeaderChar"/>
    <w:uiPriority w:val="99"/>
    <w:unhideWhenUsed/>
    <w:rsid w:val="005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3B"/>
  </w:style>
  <w:style w:type="paragraph" w:styleId="Footer">
    <w:name w:val="footer"/>
    <w:basedOn w:val="Normal"/>
    <w:link w:val="FooterChar"/>
    <w:uiPriority w:val="99"/>
    <w:unhideWhenUsed/>
    <w:rsid w:val="005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2021-10-17T23:06:00Z</dcterms:created>
  <dcterms:modified xsi:type="dcterms:W3CDTF">2021-11-11T02:32:00Z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A19454352</vt:lpwstr>
  </property>
  <property fmtid="{D5CDD505-2E9C-101B-9397-08002B2CF9AE}" pid="4" name="Objective-Title">
    <vt:lpwstr>7.2.1.6 Interim residential precinct Requirements for Assessment - UPDATED</vt:lpwstr>
  </property>
  <property fmtid="{D5CDD505-2E9C-101B-9397-08002B2CF9AE}" pid="5" name="Objective-Comment">
    <vt:lpwstr/>
  </property>
  <property fmtid="{D5CDD505-2E9C-101B-9397-08002B2CF9AE}" pid="6" name="Objective-CreationStamp">
    <vt:filetime>2019-12-10T04:16:44Z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2020-01-06T05:12:08Z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