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16"/>
        <w:gridCol w:w="8886"/>
        <w:gridCol w:w="1857"/>
        <w:gridCol w:w="3839"/>
      </w:tblGrid>
      <w:tr w:rsidR="005579E2" w:rsidRPr="00785D29" w:rsidTr="005579E2">
        <w:trPr>
          <w:tblCellSpacing w:w="15" w:type="dxa"/>
        </w:trPr>
        <w:tc>
          <w:tcPr>
            <w:tcW w:w="4981" w:type="pct"/>
            <w:gridSpan w:val="4"/>
            <w:tcBorders>
              <w:top w:val="nil"/>
              <w:left w:val="nil"/>
              <w:bottom w:val="nil"/>
              <w:right w:val="nil"/>
            </w:tcBorders>
            <w:shd w:val="clear" w:color="auto" w:fill="CCCCCC"/>
            <w:vAlign w:val="center"/>
            <w:hideMark/>
          </w:tcPr>
          <w:p w:rsidR="005579E2" w:rsidRPr="00785D29" w:rsidRDefault="005579E2" w:rsidP="00E42F79">
            <w:pPr>
              <w:rPr>
                <w:rFonts w:ascii="Arial" w:hAnsi="Arial" w:cs="Arial"/>
                <w:b/>
                <w:bCs/>
                <w:sz w:val="20"/>
                <w:szCs w:val="20"/>
              </w:rPr>
            </w:pPr>
            <w:r w:rsidRPr="00785D29">
              <w:rPr>
                <w:rFonts w:ascii="Arial" w:hAnsi="Arial" w:cs="Arial"/>
                <w:b/>
                <w:bCs/>
                <w:sz w:val="20"/>
                <w:szCs w:val="20"/>
              </w:rPr>
              <w:t>Table 7.2.2.1 Requirements for accepted development - All precincts</w:t>
            </w: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sz w:val="20"/>
                <w:szCs w:val="20"/>
              </w:rPr>
            </w:pPr>
            <w:r w:rsidRPr="00785D29">
              <w:rPr>
                <w:rFonts w:ascii="Arial" w:hAnsi="Arial" w:cs="Arial"/>
                <w:b/>
                <w:bCs/>
                <w:sz w:val="20"/>
                <w:szCs w:val="20"/>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jc w:val="center"/>
              <w:rPr>
                <w:rFonts w:ascii="Arial" w:hAnsi="Arial" w:cs="Arial"/>
                <w:b/>
                <w:bCs/>
                <w:sz w:val="20"/>
                <w:szCs w:val="20"/>
              </w:rPr>
            </w:pPr>
            <w:r w:rsidRPr="00785D29">
              <w:rPr>
                <w:rFonts w:ascii="Arial" w:hAnsi="Arial" w:cs="Arial"/>
                <w:b/>
                <w:bCs/>
                <w:sz w:val="20"/>
                <w:szCs w:val="20"/>
              </w:rPr>
              <w:t>General requirements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pStyle w:val="NoSpacing"/>
              <w:rPr>
                <w:rFonts w:ascii="Arial" w:hAnsi="Arial" w:cs="Arial"/>
                <w:sz w:val="20"/>
                <w:szCs w:val="20"/>
              </w:rPr>
            </w:pPr>
            <w:r w:rsidRPr="00785D29">
              <w:rPr>
                <w:rFonts w:ascii="Arial" w:hAnsi="Arial" w:cs="Arial"/>
                <w:b/>
                <w:bCs/>
                <w:sz w:val="20"/>
                <w:szCs w:val="20"/>
              </w:rPr>
              <w:t>Woodfordia Event</w:t>
            </w:r>
            <w:r w:rsidRPr="00785D29">
              <w:rPr>
                <w:rFonts w:ascii="Arial" w:hAnsi="Arial" w:cs="Arial"/>
                <w:sz w:val="20"/>
                <w:szCs w:val="20"/>
                <w:vertAlign w:val="superscript"/>
              </w:rPr>
              <w:t>(</w:t>
            </w:r>
            <w:hyperlink r:id="rId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E Compliance</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-Yes</w:t>
            </w:r>
          </w:p>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-No</w:t>
            </w: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pStyle w:val="NoSpacing"/>
              <w:rPr>
                <w:rFonts w:ascii="Arial" w:hAnsi="Arial" w:cs="Arial"/>
                <w:b/>
                <w:bCs/>
                <w:sz w:val="20"/>
                <w:szCs w:val="20"/>
              </w:rPr>
            </w:pPr>
            <w:r w:rsidRPr="00785D29">
              <w:rPr>
                <w:rFonts w:ascii="Arial" w:hAnsi="Arial" w:cs="Arial"/>
                <w:b/>
                <w:bCs/>
                <w:sz w:val="20"/>
                <w:szCs w:val="20"/>
              </w:rPr>
              <w:t>Council confirmation</w:t>
            </w:r>
          </w:p>
        </w:tc>
      </w:tr>
      <w:tr w:rsidR="00E42F79" w:rsidRPr="00785D29" w:rsidTr="005579E2">
        <w:trPr>
          <w:trHeight w:val="208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maximum number of Woodfordia Event</w:t>
            </w:r>
            <w:r w:rsidRPr="00785D29">
              <w:rPr>
                <w:rFonts w:ascii="Arial" w:hAnsi="Arial" w:cs="Arial"/>
                <w:sz w:val="20"/>
                <w:szCs w:val="20"/>
                <w:vertAlign w:val="superscript"/>
              </w:rPr>
              <w:t>(</w:t>
            </w:r>
            <w:hyperlink r:id="rId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days held at Woodfordia</w:t>
            </w:r>
            <w:r w:rsidRPr="00785D29">
              <w:rPr>
                <w:rFonts w:ascii="Arial" w:hAnsi="Arial" w:cs="Arial"/>
                <w:sz w:val="20"/>
                <w:szCs w:val="20"/>
                <w:vertAlign w:val="superscript"/>
              </w:rPr>
              <w:t>(</w:t>
            </w:r>
            <w:hyperlink r:id="rId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calendar year does not exceed:</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fourteen (14) event days</w:t>
            </w:r>
            <w:r w:rsidRPr="00785D29">
              <w:rPr>
                <w:rFonts w:ascii="Arial" w:hAnsi="Arial" w:cs="Arial"/>
                <w:sz w:val="20"/>
                <w:szCs w:val="20"/>
                <w:vertAlign w:val="superscript"/>
              </w:rPr>
              <w:t>(</w:t>
            </w:r>
            <w:hyperlink r:id="rId10"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grand events</w:t>
            </w:r>
            <w:r w:rsidRPr="00785D29">
              <w:rPr>
                <w:rFonts w:ascii="Arial" w:hAnsi="Arial" w:cs="Arial"/>
                <w:sz w:val="20"/>
                <w:szCs w:val="20"/>
                <w:vertAlign w:val="superscript"/>
              </w:rPr>
              <w:t>(</w:t>
            </w:r>
            <w:hyperlink r:id="rId1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eighteen (18) event days</w:t>
            </w:r>
            <w:r w:rsidRPr="00785D29">
              <w:rPr>
                <w:rFonts w:ascii="Arial" w:hAnsi="Arial" w:cs="Arial"/>
                <w:sz w:val="20"/>
                <w:szCs w:val="20"/>
                <w:vertAlign w:val="superscript"/>
              </w:rPr>
              <w:t>(</w:t>
            </w:r>
            <w:hyperlink r:id="rId12"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major events</w:t>
            </w:r>
            <w:r w:rsidRPr="00785D29">
              <w:rPr>
                <w:rFonts w:ascii="Arial" w:hAnsi="Arial" w:cs="Arial"/>
                <w:sz w:val="20"/>
                <w:szCs w:val="20"/>
                <w:vertAlign w:val="superscript"/>
              </w:rPr>
              <w:t>(</w:t>
            </w:r>
            <w:hyperlink r:id="rId13"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
              </w:numPr>
              <w:rPr>
                <w:rFonts w:ascii="Arial" w:hAnsi="Arial" w:cs="Arial"/>
                <w:sz w:val="20"/>
                <w:szCs w:val="20"/>
              </w:rPr>
            </w:pPr>
            <w:r w:rsidRPr="00785D29">
              <w:rPr>
                <w:rFonts w:ascii="Arial" w:hAnsi="Arial" w:cs="Arial"/>
                <w:sz w:val="20"/>
                <w:szCs w:val="20"/>
              </w:rPr>
              <w:t>twenty-four (24) event days</w:t>
            </w:r>
            <w:r w:rsidRPr="00785D29">
              <w:rPr>
                <w:rFonts w:ascii="Arial" w:hAnsi="Arial" w:cs="Arial"/>
                <w:sz w:val="20"/>
                <w:szCs w:val="20"/>
                <w:vertAlign w:val="superscript"/>
              </w:rPr>
              <w:t>(</w:t>
            </w:r>
            <w:hyperlink r:id="rId14" w:anchor="target-d768251e574277" w:tooltip="Event day- A day on which a Woodfordia event occurs." w:history="1">
              <w:r w:rsidRPr="00785D29">
                <w:rPr>
                  <w:rStyle w:val="Hyperlink"/>
                  <w:rFonts w:ascii="Arial" w:hAnsi="Arial" w:cs="Arial"/>
                  <w:sz w:val="20"/>
                  <w:szCs w:val="20"/>
                  <w:vertAlign w:val="superscript"/>
                </w:rPr>
                <w:t>92</w:t>
              </w:r>
            </w:hyperlink>
            <w:r w:rsidRPr="00785D29">
              <w:rPr>
                <w:rFonts w:ascii="Arial" w:hAnsi="Arial" w:cs="Arial"/>
                <w:sz w:val="20"/>
                <w:szCs w:val="20"/>
                <w:vertAlign w:val="superscript"/>
              </w:rPr>
              <w:t>)</w:t>
            </w:r>
            <w:r w:rsidRPr="00785D29">
              <w:rPr>
                <w:rFonts w:ascii="Arial" w:hAnsi="Arial" w:cs="Arial"/>
                <w:sz w:val="20"/>
                <w:szCs w:val="20"/>
              </w:rPr>
              <w:t xml:space="preserve"> for moderate events</w:t>
            </w:r>
            <w:r w:rsidRPr="00785D29">
              <w:rPr>
                <w:rFonts w:ascii="Arial" w:hAnsi="Arial" w:cs="Arial"/>
                <w:sz w:val="20"/>
                <w:szCs w:val="20"/>
                <w:vertAlign w:val="superscript"/>
              </w:rPr>
              <w:t>(</w:t>
            </w:r>
            <w:hyperlink r:id="rId1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There is no maximum number of Woodfordia event</w:t>
                  </w:r>
                  <w:r w:rsidRPr="00B157AC">
                    <w:rPr>
                      <w:rFonts w:ascii="Arial" w:hAnsi="Arial" w:cs="Arial"/>
                      <w:sz w:val="18"/>
                      <w:szCs w:val="20"/>
                      <w:vertAlign w:val="superscript"/>
                    </w:rPr>
                    <w:t>(</w:t>
                  </w:r>
                  <w:hyperlink r:id="rId1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days for minor events</w:t>
                  </w:r>
                  <w:r w:rsidRPr="00B157AC">
                    <w:rPr>
                      <w:rFonts w:ascii="Arial" w:hAnsi="Arial" w:cs="Arial"/>
                      <w:sz w:val="18"/>
                      <w:szCs w:val="20"/>
                      <w:vertAlign w:val="superscript"/>
                    </w:rPr>
                    <w:t>(</w:t>
                  </w:r>
                  <w:hyperlink r:id="rId17" w:anchor="target-d768251e574633" w:tooltip="Minor event- A Woodfordia event with more than 350 people and no more than 2,000 people in attendance at any one time." w:history="1">
                    <w:r w:rsidRPr="00B157AC">
                      <w:rPr>
                        <w:rStyle w:val="Hyperlink"/>
                        <w:rFonts w:ascii="Arial" w:hAnsi="Arial" w:cs="Arial"/>
                        <w:sz w:val="18"/>
                        <w:szCs w:val="20"/>
                        <w:vertAlign w:val="superscript"/>
                      </w:rPr>
                      <w:t>98</w:t>
                    </w:r>
                  </w:hyperlink>
                  <w:r w:rsidRPr="00B157AC">
                    <w:rPr>
                      <w:rFonts w:ascii="Arial" w:hAnsi="Arial" w:cs="Arial"/>
                      <w:sz w:val="18"/>
                      <w:szCs w:val="20"/>
                      <w:vertAlign w:val="superscript"/>
                    </w:rPr>
                    <w:t>)</w:t>
                  </w:r>
                  <w:r w:rsidRPr="00B157AC">
                    <w:rPr>
                      <w:rFonts w:ascii="Arial" w:hAnsi="Arial" w:cs="Arial"/>
                      <w:sz w:val="18"/>
                      <w:szCs w:val="20"/>
                    </w:rPr>
                    <w:t xml:space="preserve"> or smaller events held at Woodfordia</w:t>
                  </w:r>
                  <w:r w:rsidRPr="00B157AC">
                    <w:rPr>
                      <w:rFonts w:ascii="Arial" w:hAnsi="Arial" w:cs="Arial"/>
                      <w:sz w:val="18"/>
                      <w:szCs w:val="20"/>
                      <w:vertAlign w:val="superscript"/>
                    </w:rPr>
                    <w:t>(</w:t>
                  </w:r>
                  <w:hyperlink r:id="rId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B157AC">
                      <w:rPr>
                        <w:rStyle w:val="Hyperlink"/>
                        <w:rFonts w:ascii="Arial" w:hAnsi="Arial" w:cs="Arial"/>
                        <w:sz w:val="18"/>
                        <w:szCs w:val="20"/>
                        <w:vertAlign w:val="superscript"/>
                      </w:rPr>
                      <w:t>101</w:t>
                    </w:r>
                  </w:hyperlink>
                  <w:r w:rsidRPr="00B157AC">
                    <w:rPr>
                      <w:rFonts w:ascii="Arial" w:hAnsi="Arial" w:cs="Arial"/>
                      <w:sz w:val="18"/>
                      <w:szCs w:val="20"/>
                      <w:vertAlign w:val="superscript"/>
                    </w:rPr>
                    <w:t>)</w:t>
                  </w:r>
                  <w:r w:rsidRPr="00B157AC">
                    <w:rPr>
                      <w:rFonts w:ascii="Arial" w:hAnsi="Arial" w:cs="Arial"/>
                      <w:sz w:val="18"/>
                      <w:szCs w:val="20"/>
                    </w:rPr>
                    <w:t xml:space="preserve"> per calendar year.</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entertainment</w:t>
            </w:r>
            <w:r w:rsidRPr="00785D29">
              <w:rPr>
                <w:rFonts w:ascii="Arial" w:hAnsi="Arial" w:cs="Arial"/>
                <w:sz w:val="20"/>
                <w:szCs w:val="20"/>
                <w:vertAlign w:val="superscript"/>
              </w:rPr>
              <w:t>(</w:t>
            </w:r>
            <w:hyperlink r:id="rId19" w:anchor="target-d768251e574288" w:tooltip="Event entertainment - Activities involving the amplification of sound to audiences, as part of a Woodfordia event." w:history="1">
              <w:r w:rsidRPr="00785D29">
                <w:rPr>
                  <w:rStyle w:val="Hyperlink"/>
                  <w:rFonts w:ascii="Arial" w:hAnsi="Arial" w:cs="Arial"/>
                  <w:sz w:val="20"/>
                  <w:szCs w:val="20"/>
                  <w:vertAlign w:val="superscript"/>
                </w:rPr>
                <w:t>93</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occurs only in the Festival valley precinct or in a building designed to mitigate the impact of noise;</w:t>
            </w:r>
          </w:p>
          <w:p w:rsidR="00E42F79" w:rsidRPr="00785D29" w:rsidRDefault="00E42F79" w:rsidP="00E42F79">
            <w:pPr>
              <w:numPr>
                <w:ilvl w:val="0"/>
                <w:numId w:val="2"/>
              </w:numPr>
              <w:rPr>
                <w:rFonts w:ascii="Arial" w:hAnsi="Arial" w:cs="Arial"/>
                <w:sz w:val="20"/>
                <w:szCs w:val="20"/>
              </w:rPr>
            </w:pPr>
            <w:r w:rsidRPr="00785D29">
              <w:rPr>
                <w:rFonts w:ascii="Arial" w:hAnsi="Arial" w:cs="Arial"/>
                <w:sz w:val="20"/>
                <w:szCs w:val="20"/>
              </w:rPr>
              <w:t>does not impact on the amenity of surrounding sensitive land uses.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facilities</w:t>
            </w:r>
            <w:r w:rsidRPr="00785D29">
              <w:rPr>
                <w:rFonts w:ascii="Arial" w:hAnsi="Arial" w:cs="Arial"/>
                <w:sz w:val="20"/>
                <w:szCs w:val="20"/>
                <w:vertAlign w:val="superscript"/>
              </w:rPr>
              <w:t>(</w:t>
            </w:r>
            <w:hyperlink r:id="rId20" w:anchor="target-d768251e574299" w:tooltip="Event facilities- Temporary and permanent activities, services and infrastructure associated with and subordinate to the conduct of a Woodfordia event.  The term includes shops, food and drink outlets, offices communication and broadcasting facilities, kindred" w:history="1">
              <w:r w:rsidRPr="00785D29">
                <w:rPr>
                  <w:rStyle w:val="Hyperlink"/>
                  <w:rFonts w:ascii="Arial" w:hAnsi="Arial" w:cs="Arial"/>
                  <w:sz w:val="20"/>
                  <w:szCs w:val="20"/>
                  <w:vertAlign w:val="superscript"/>
                </w:rPr>
                <w:t>94</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occur only within the Festival valley precinct or Event facilities precinct;</w:t>
            </w:r>
          </w:p>
          <w:p w:rsidR="00E42F79" w:rsidRPr="00785D29" w:rsidRDefault="00E42F79" w:rsidP="00E42F79">
            <w:pPr>
              <w:numPr>
                <w:ilvl w:val="0"/>
                <w:numId w:val="3"/>
              </w:numPr>
              <w:rPr>
                <w:rFonts w:ascii="Arial" w:hAnsi="Arial" w:cs="Arial"/>
                <w:sz w:val="20"/>
                <w:szCs w:val="20"/>
              </w:rPr>
            </w:pPr>
            <w:r w:rsidRPr="00785D29">
              <w:rPr>
                <w:rFonts w:ascii="Arial" w:hAnsi="Arial" w:cs="Arial"/>
                <w:sz w:val="20"/>
                <w:szCs w:val="20"/>
              </w:rPr>
              <w:t>are adequately provided to meet the needs of event participants.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camping</w:t>
            </w:r>
            <w:r w:rsidRPr="00785D29">
              <w:rPr>
                <w:rFonts w:ascii="Arial" w:hAnsi="Arial" w:cs="Arial"/>
                <w:sz w:val="20"/>
                <w:szCs w:val="20"/>
                <w:vertAlign w:val="superscript"/>
              </w:rPr>
              <w:t>(</w:t>
            </w:r>
            <w:hyperlink r:id="rId21" w:anchor="target-d768251e574266" w:tooltip="Event camping- For Siting of tents, camper-trailers, caravans and the like, where participants are involved in an event at Woodfordia.  The term includes any associated vehicle parking and amenities." w:history="1">
              <w:r w:rsidRPr="00785D29">
                <w:rPr>
                  <w:rStyle w:val="Hyperlink"/>
                  <w:rFonts w:ascii="Arial" w:hAnsi="Arial" w:cs="Arial"/>
                  <w:sz w:val="20"/>
                  <w:szCs w:val="20"/>
                  <w:vertAlign w:val="superscript"/>
                </w:rPr>
                <w:t>91</w:t>
              </w:r>
            </w:hyperlink>
            <w:r w:rsidRPr="00785D29">
              <w:rPr>
                <w:rFonts w:ascii="Arial" w:hAnsi="Arial" w:cs="Arial"/>
                <w:sz w:val="20"/>
                <w:szCs w:val="20"/>
                <w:vertAlign w:val="superscript"/>
              </w:rPr>
              <w:t>)</w:t>
            </w:r>
            <w:r w:rsidRPr="00785D29">
              <w:rPr>
                <w:rFonts w:ascii="Arial" w:hAnsi="Arial" w:cs="Arial"/>
                <w:sz w:val="20"/>
                <w:szCs w:val="20"/>
              </w:rPr>
              <w:t xml:space="preserve"> is screened from view from outside Woodfordia</w:t>
            </w:r>
            <w:r w:rsidRPr="00785D29">
              <w:rPr>
                <w:rFonts w:ascii="Arial" w:hAnsi="Arial" w:cs="Arial"/>
                <w:sz w:val="20"/>
                <w:szCs w:val="20"/>
                <w:vertAlign w:val="superscript"/>
              </w:rPr>
              <w:t>(</w:t>
            </w:r>
            <w:hyperlink r:id="rId2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through the placement of temporary screening for the duration of the event.</w:t>
            </w:r>
          </w:p>
        </w:tc>
        <w:tc>
          <w:tcPr>
            <w:tcW w:w="597" w:type="pct"/>
            <w:tcBorders>
              <w:top w:val="outset" w:sz="6" w:space="0" w:color="auto"/>
              <w:left w:val="outset" w:sz="6" w:space="0" w:color="auto"/>
              <w:bottom w:val="outset" w:sz="6" w:space="0" w:color="auto"/>
              <w:right w:val="outset" w:sz="6" w:space="0" w:color="auto"/>
            </w:tcBorders>
          </w:tcPr>
          <w:p w:rsidR="00E42F79" w:rsidRDefault="00E42F79" w:rsidP="00E42F79">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rPr>
                <w:rFonts w:ascii="Arial" w:hAnsi="Arial" w:cs="Arial"/>
                <w:sz w:val="20"/>
                <w:szCs w:val="20"/>
              </w:rPr>
            </w:pPr>
          </w:p>
          <w:p w:rsidR="00B157AC" w:rsidRPr="00B157AC" w:rsidRDefault="00B157AC" w:rsidP="00B157AC">
            <w:pPr>
              <w:jc w:val="cente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98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Event parking</w:t>
            </w:r>
            <w:r w:rsidRPr="00785D29">
              <w:rPr>
                <w:rFonts w:ascii="Arial" w:hAnsi="Arial" w:cs="Arial"/>
                <w:sz w:val="20"/>
                <w:szCs w:val="20"/>
                <w:vertAlign w:val="superscript"/>
              </w:rPr>
              <w:t>(</w:t>
            </w:r>
            <w:hyperlink r:id="rId23" w:anchor="target-d768251e574310" w:tooltip="Event parking- Parking of vehicles at Woodfordia during a Woodfordia event." w:history="1">
              <w:r w:rsidRPr="00785D29">
                <w:rPr>
                  <w:rStyle w:val="Hyperlink"/>
                  <w:rFonts w:ascii="Arial" w:hAnsi="Arial" w:cs="Arial"/>
                  <w:sz w:val="20"/>
                  <w:szCs w:val="20"/>
                  <w:vertAlign w:val="superscript"/>
                </w:rPr>
                <w:t>95</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grand event</w:t>
            </w:r>
            <w:r w:rsidRPr="00785D29">
              <w:rPr>
                <w:rFonts w:ascii="Arial" w:hAnsi="Arial" w:cs="Arial"/>
                <w:sz w:val="20"/>
                <w:szCs w:val="20"/>
                <w:vertAlign w:val="superscript"/>
              </w:rPr>
              <w:t>(</w:t>
            </w:r>
            <w:hyperlink r:id="rId24"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a major event</w:t>
            </w:r>
            <w:r w:rsidRPr="00785D29">
              <w:rPr>
                <w:rFonts w:ascii="Arial" w:hAnsi="Arial" w:cs="Arial"/>
                <w:sz w:val="20"/>
                <w:szCs w:val="20"/>
                <w:vertAlign w:val="superscript"/>
              </w:rPr>
              <w:t>(</w:t>
            </w:r>
            <w:hyperlink r:id="rId2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occurs only within the Eastern, Event support or Festival valley precincts or within the Camping precinct (part of Lot 7 on RP840560 only);</w:t>
            </w:r>
          </w:p>
          <w:p w:rsidR="00E42F79" w:rsidRPr="00785D29" w:rsidRDefault="00E42F79" w:rsidP="00E42F79">
            <w:pPr>
              <w:numPr>
                <w:ilvl w:val="0"/>
                <w:numId w:val="4"/>
              </w:numPr>
              <w:rPr>
                <w:rFonts w:ascii="Arial" w:hAnsi="Arial" w:cs="Arial"/>
                <w:sz w:val="20"/>
                <w:szCs w:val="20"/>
              </w:rPr>
            </w:pPr>
            <w:r w:rsidRPr="00785D29">
              <w:rPr>
                <w:rFonts w:ascii="Arial" w:hAnsi="Arial" w:cs="Arial"/>
                <w:sz w:val="20"/>
                <w:szCs w:val="20"/>
              </w:rPr>
              <w:t>during a moderate event</w:t>
            </w:r>
            <w:r w:rsidRPr="00785D29">
              <w:rPr>
                <w:rFonts w:ascii="Arial" w:hAnsi="Arial" w:cs="Arial"/>
                <w:sz w:val="20"/>
                <w:szCs w:val="20"/>
                <w:vertAlign w:val="superscript"/>
              </w:rPr>
              <w:t>(</w:t>
            </w:r>
            <w:hyperlink r:id="rId26"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27"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occurs only within the Event support or Festival valley precincts.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89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All persons not directly associated with the setting up or dismantling of a Woodfordia event</w:t>
            </w:r>
            <w:r w:rsidRPr="00785D29">
              <w:rPr>
                <w:rFonts w:ascii="Arial" w:hAnsi="Arial" w:cs="Arial"/>
                <w:sz w:val="20"/>
                <w:szCs w:val="20"/>
                <w:vertAlign w:val="superscript"/>
              </w:rPr>
              <w:t>(</w:t>
            </w:r>
            <w:hyperlink r:id="rId2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must:</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not enter the site more than three (3) days prior to a grand event</w:t>
            </w:r>
            <w:r w:rsidRPr="00785D29">
              <w:rPr>
                <w:rFonts w:ascii="Arial" w:hAnsi="Arial" w:cs="Arial"/>
                <w:sz w:val="20"/>
                <w:szCs w:val="20"/>
                <w:vertAlign w:val="superscript"/>
              </w:rPr>
              <w:t>(</w:t>
            </w:r>
            <w:hyperlink r:id="rId29"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0"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commencing or one (1) day prior to a moderate event</w:t>
            </w:r>
            <w:r w:rsidRPr="00785D29">
              <w:rPr>
                <w:rFonts w:ascii="Arial" w:hAnsi="Arial" w:cs="Arial"/>
                <w:sz w:val="20"/>
                <w:szCs w:val="20"/>
                <w:vertAlign w:val="superscript"/>
              </w:rPr>
              <w:t>(</w:t>
            </w:r>
            <w:hyperlink r:id="rId31"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2"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commencing;</w:t>
            </w:r>
          </w:p>
          <w:p w:rsidR="00E42F79" w:rsidRPr="00785D29" w:rsidRDefault="00E42F79" w:rsidP="00E42F79">
            <w:pPr>
              <w:numPr>
                <w:ilvl w:val="0"/>
                <w:numId w:val="5"/>
              </w:numPr>
              <w:rPr>
                <w:rFonts w:ascii="Arial" w:hAnsi="Arial" w:cs="Arial"/>
                <w:sz w:val="20"/>
                <w:szCs w:val="20"/>
              </w:rPr>
            </w:pPr>
            <w:r w:rsidRPr="00785D29">
              <w:rPr>
                <w:rFonts w:ascii="Arial" w:hAnsi="Arial" w:cs="Arial"/>
                <w:sz w:val="20"/>
                <w:szCs w:val="20"/>
              </w:rPr>
              <w:t>vacate the site within three (3) days of completion of a grand event</w:t>
            </w:r>
            <w:r w:rsidRPr="00785D29">
              <w:rPr>
                <w:rFonts w:ascii="Arial" w:hAnsi="Arial" w:cs="Arial"/>
                <w:sz w:val="20"/>
                <w:szCs w:val="20"/>
                <w:vertAlign w:val="superscript"/>
              </w:rPr>
              <w:t>(</w:t>
            </w:r>
            <w:hyperlink r:id="rId33"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34"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one (1) day of completion of a moderate event</w:t>
            </w:r>
            <w:r w:rsidRPr="00785D29">
              <w:rPr>
                <w:rFonts w:ascii="Arial" w:hAnsi="Arial" w:cs="Arial"/>
                <w:sz w:val="20"/>
                <w:szCs w:val="20"/>
                <w:vertAlign w:val="superscript"/>
              </w:rPr>
              <w:t>(</w:t>
            </w:r>
            <w:hyperlink r:id="rId35"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or minor event</w:t>
            </w:r>
            <w:r w:rsidRPr="00785D29">
              <w:rPr>
                <w:rFonts w:ascii="Arial" w:hAnsi="Arial" w:cs="Arial"/>
                <w:sz w:val="20"/>
                <w:szCs w:val="20"/>
                <w:vertAlign w:val="superscript"/>
              </w:rPr>
              <w:t>(</w:t>
            </w:r>
            <w:hyperlink r:id="rId36"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 events</w:t>
            </w:r>
            <w:r w:rsidRPr="00785D29">
              <w:rPr>
                <w:rFonts w:ascii="Arial" w:hAnsi="Arial" w:cs="Arial"/>
                <w:sz w:val="20"/>
                <w:szCs w:val="20"/>
                <w:vertAlign w:val="superscript"/>
              </w:rPr>
              <w:t>(</w:t>
            </w:r>
            <w:hyperlink r:id="rId3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event management plan, submitted for approval by Council prior to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An event management plan is to:</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submitted to Council at least eight (8) weeks prior to the public promotion and ticket sales of a Woodfordia event</w:t>
            </w:r>
            <w:r w:rsidRPr="00785D29">
              <w:rPr>
                <w:rFonts w:ascii="Arial" w:hAnsi="Arial" w:cs="Arial"/>
                <w:sz w:val="20"/>
                <w:szCs w:val="20"/>
                <w:vertAlign w:val="superscript"/>
              </w:rPr>
              <w:t>(</w:t>
            </w:r>
            <w:hyperlink r:id="rId3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identify how the various aspects and potential adverse impacts of the Woodfordia event</w:t>
            </w:r>
            <w:r w:rsidRPr="00785D29">
              <w:rPr>
                <w:rFonts w:ascii="Arial" w:hAnsi="Arial" w:cs="Arial"/>
                <w:sz w:val="20"/>
                <w:szCs w:val="20"/>
                <w:vertAlign w:val="superscript"/>
              </w:rPr>
              <w:t>(</w:t>
            </w:r>
            <w:hyperlink r:id="rId3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demonstrate how all necessary services and facilities will be provided, including potable water and solid waste and waste water management;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acoustic management and bushfire management where dedicated management plans have not been previously prepared and approved by the relevant authorities;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address transport and access issues by a plan approved by Council, Department of Transport and Main Roads and Queensland Police Service, for a</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t>Minor event</w:t>
            </w:r>
            <w:r w:rsidRPr="00785D29">
              <w:rPr>
                <w:rFonts w:ascii="Arial" w:hAnsi="Arial" w:cs="Arial"/>
                <w:sz w:val="20"/>
                <w:szCs w:val="20"/>
                <w:vertAlign w:val="superscript"/>
              </w:rPr>
              <w:t>(</w:t>
            </w:r>
            <w:hyperlink r:id="rId40"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a Traffic management plan</w:t>
            </w:r>
          </w:p>
          <w:p w:rsidR="00E42F79" w:rsidRPr="00785D29" w:rsidRDefault="00E42F79" w:rsidP="00E42F79">
            <w:pPr>
              <w:numPr>
                <w:ilvl w:val="1"/>
                <w:numId w:val="6"/>
              </w:numPr>
              <w:rPr>
                <w:rFonts w:ascii="Arial" w:hAnsi="Arial" w:cs="Arial"/>
                <w:sz w:val="20"/>
                <w:szCs w:val="20"/>
              </w:rPr>
            </w:pPr>
            <w:r w:rsidRPr="00785D29">
              <w:rPr>
                <w:rFonts w:ascii="Arial" w:hAnsi="Arial" w:cs="Arial"/>
                <w:sz w:val="20"/>
                <w:szCs w:val="20"/>
              </w:rPr>
              <w:t>Grand event</w:t>
            </w:r>
            <w:r w:rsidRPr="00785D29">
              <w:rPr>
                <w:rFonts w:ascii="Arial" w:hAnsi="Arial" w:cs="Arial"/>
                <w:sz w:val="20"/>
                <w:szCs w:val="20"/>
                <w:vertAlign w:val="superscript"/>
              </w:rPr>
              <w:t>(</w:t>
            </w:r>
            <w:hyperlink r:id="rId41"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42"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43"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a Transport and access management plan.</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lastRenderedPageBreak/>
              <w:t>address water quality management in accordance with the requirements of the Environmental Protection (Water) Policy 2009 – Stanley River environmental values and water quality objectives (July 2010);</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incorporate an emergency management plan, which outlines suitable communication and evacuation procedures, including traffic management, during an emergency on the site (including bushfire, flood and landslide);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include provisions to avoid potential harm to koalas on the site during an event, including restricting domestic animals being brought to the site and restricting vehicle speeds at Woodfordia</w:t>
            </w:r>
            <w:r w:rsidRPr="00785D29">
              <w:rPr>
                <w:rFonts w:ascii="Arial" w:hAnsi="Arial" w:cs="Arial"/>
                <w:sz w:val="20"/>
                <w:szCs w:val="20"/>
                <w:vertAlign w:val="superscript"/>
              </w:rPr>
              <w:t>(</w:t>
            </w:r>
            <w:hyperlink r:id="rId4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during a Woodfordia event</w:t>
            </w:r>
            <w:r w:rsidRPr="00785D29">
              <w:rPr>
                <w:rFonts w:ascii="Arial" w:hAnsi="Arial" w:cs="Arial"/>
                <w:sz w:val="20"/>
                <w:szCs w:val="20"/>
                <w:vertAlign w:val="superscript"/>
              </w:rPr>
              <w:t>(</w:t>
            </w:r>
            <w:hyperlink r:id="rId4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establish a priority contact phone number for local residents during Woodfordia events</w:t>
            </w:r>
            <w:r w:rsidRPr="00785D29">
              <w:rPr>
                <w:rFonts w:ascii="Arial" w:hAnsi="Arial" w:cs="Arial"/>
                <w:sz w:val="20"/>
                <w:szCs w:val="20"/>
                <w:vertAlign w:val="superscript"/>
              </w:rPr>
              <w:t>(</w:t>
            </w:r>
            <w:hyperlink r:id="rId4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report security issues, noise complaints, traffic issues or other event-related issues;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consistent with the requirements of the Woodfordia local plan code and the relevant provisions of any past approvals;</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include new and improved practices that have been developed as a result of the experiences that have occurred in the conduct of Woodfordia events</w:t>
            </w:r>
            <w:r w:rsidRPr="00785D29">
              <w:rPr>
                <w:rFonts w:ascii="Arial" w:hAnsi="Arial" w:cs="Arial"/>
                <w:sz w:val="20"/>
                <w:szCs w:val="20"/>
                <w:vertAlign w:val="superscript"/>
              </w:rPr>
              <w:t>(</w:t>
            </w:r>
            <w:hyperlink r:id="rId4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prepared in consultation with relevant authorities including the Queensland Police Service, Moreton Bay Regional Council and where necessary and the Queensland Fire and Rescue Service;</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in the case of a grand event</w:t>
            </w:r>
            <w:r w:rsidRPr="00785D29">
              <w:rPr>
                <w:rFonts w:ascii="Arial" w:hAnsi="Arial" w:cs="Arial"/>
                <w:sz w:val="20"/>
                <w:szCs w:val="20"/>
                <w:vertAlign w:val="superscript"/>
              </w:rPr>
              <w:t>(</w:t>
            </w:r>
            <w:hyperlink r:id="rId48"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or major event</w:t>
            </w:r>
            <w:r w:rsidRPr="00785D29">
              <w:rPr>
                <w:rFonts w:ascii="Arial" w:hAnsi="Arial" w:cs="Arial"/>
                <w:sz w:val="20"/>
                <w:szCs w:val="20"/>
                <w:vertAlign w:val="superscript"/>
              </w:rPr>
              <w:t>(</w:t>
            </w:r>
            <w:hyperlink r:id="rId49"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include provision for consultation with the neighbouring properties at least 30 days prior to the event;</w:t>
            </w:r>
          </w:p>
          <w:p w:rsidR="00E42F79" w:rsidRPr="00785D29" w:rsidRDefault="00E42F79" w:rsidP="00E42F79">
            <w:pPr>
              <w:numPr>
                <w:ilvl w:val="0"/>
                <w:numId w:val="6"/>
              </w:numPr>
              <w:rPr>
                <w:rFonts w:ascii="Arial" w:hAnsi="Arial" w:cs="Arial"/>
                <w:sz w:val="20"/>
                <w:szCs w:val="20"/>
              </w:rPr>
            </w:pPr>
            <w:r w:rsidRPr="00785D29">
              <w:rPr>
                <w:rFonts w:ascii="Arial" w:hAnsi="Arial" w:cs="Arial"/>
                <w:sz w:val="20"/>
                <w:szCs w:val="20"/>
              </w:rPr>
              <w:t>be implemented as approved including any variations or conditions imposed.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172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an event management plan is applicable to more than one Woodfordia event</w:t>
            </w:r>
            <w:r w:rsidRPr="00785D29">
              <w:rPr>
                <w:rFonts w:ascii="Arial" w:hAnsi="Arial" w:cs="Arial"/>
                <w:sz w:val="20"/>
                <w:szCs w:val="20"/>
                <w:vertAlign w:val="superscript"/>
              </w:rPr>
              <w:t>(</w:t>
            </w:r>
            <w:hyperlink r:id="rId5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an opportunity for the review of the event management plan after each event is to be provided, having regard to the operation of and any complaints received during the previous Woodfordia event</w:t>
            </w:r>
            <w:r w:rsidRPr="00785D29">
              <w:rPr>
                <w:rFonts w:ascii="Arial" w:hAnsi="Arial" w:cs="Arial"/>
                <w:sz w:val="20"/>
                <w:szCs w:val="20"/>
                <w:vertAlign w:val="superscript"/>
              </w:rPr>
              <w:t>(</w:t>
            </w:r>
            <w:hyperlink r:id="rId5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submission and Council approval of an event management plan that is applicable to more than one event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07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5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maintain and make publicly available, a three (3) year program of upcoming minor events</w:t>
            </w:r>
            <w:r w:rsidRPr="00785D29">
              <w:rPr>
                <w:rFonts w:ascii="Arial" w:hAnsi="Arial" w:cs="Arial"/>
                <w:sz w:val="20"/>
                <w:szCs w:val="20"/>
                <w:vertAlign w:val="superscript"/>
              </w:rPr>
              <w:t>(</w:t>
            </w:r>
            <w:hyperlink r:id="rId5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5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5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5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to the best of the controller of the site’s knowledge: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days/dates of the operation of the Woodfordia event</w:t>
            </w:r>
            <w:r w:rsidRPr="00785D29">
              <w:rPr>
                <w:rFonts w:ascii="Arial" w:hAnsi="Arial" w:cs="Arial"/>
                <w:sz w:val="20"/>
                <w:szCs w:val="20"/>
                <w:vertAlign w:val="superscript"/>
              </w:rPr>
              <w:t>(</w:t>
            </w:r>
            <w:hyperlink r:id="rId5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the type/scale of the Woodfordia event</w:t>
            </w:r>
            <w:r w:rsidRPr="00785D29">
              <w:rPr>
                <w:rFonts w:ascii="Arial" w:hAnsi="Arial" w:cs="Arial"/>
                <w:sz w:val="20"/>
                <w:szCs w:val="20"/>
                <w:vertAlign w:val="superscript"/>
              </w:rPr>
              <w:t>(</w:t>
            </w:r>
            <w:hyperlink r:id="rId5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a brief description and schedule of the main activities for the Woodfordia event</w:t>
            </w:r>
            <w:r w:rsidRPr="00785D29">
              <w:rPr>
                <w:rFonts w:ascii="Arial" w:hAnsi="Arial" w:cs="Arial"/>
                <w:sz w:val="20"/>
                <w:szCs w:val="20"/>
                <w:vertAlign w:val="superscript"/>
              </w:rPr>
              <w:t>(</w:t>
            </w:r>
            <w:hyperlink r:id="rId5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the size of individual Woodfordia events</w:t>
            </w:r>
            <w:r w:rsidRPr="00785D29">
              <w:rPr>
                <w:rFonts w:ascii="Arial" w:hAnsi="Arial" w:cs="Arial"/>
                <w:sz w:val="20"/>
                <w:szCs w:val="20"/>
                <w:vertAlign w:val="superscript"/>
              </w:rPr>
              <w:t>(</w:t>
            </w:r>
            <w:hyperlink r:id="rId6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estimated attendance;</w:t>
            </w:r>
          </w:p>
          <w:p w:rsidR="00E42F79" w:rsidRPr="00785D29" w:rsidRDefault="00E42F79" w:rsidP="00E42F79">
            <w:pPr>
              <w:numPr>
                <w:ilvl w:val="0"/>
                <w:numId w:val="7"/>
              </w:numPr>
              <w:rPr>
                <w:rFonts w:ascii="Arial" w:hAnsi="Arial" w:cs="Arial"/>
                <w:sz w:val="20"/>
                <w:szCs w:val="20"/>
              </w:rPr>
            </w:pPr>
            <w:r w:rsidRPr="00785D29">
              <w:rPr>
                <w:rFonts w:ascii="Arial" w:hAnsi="Arial" w:cs="Arial"/>
                <w:sz w:val="20"/>
                <w:szCs w:val="20"/>
              </w:rPr>
              <w:t>anticipated transport arrival and departure profile of individual Woodfordia events</w:t>
            </w:r>
            <w:r w:rsidRPr="00785D29">
              <w:rPr>
                <w:rFonts w:ascii="Arial" w:hAnsi="Arial" w:cs="Arial"/>
                <w:sz w:val="20"/>
                <w:szCs w:val="20"/>
                <w:vertAlign w:val="superscript"/>
              </w:rPr>
              <w:t>(</w:t>
            </w:r>
            <w:hyperlink r:id="rId6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preparation of a single document containing the program of upcoming events (RAD10) and the register of events held (RAD11).</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6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and maintain a register of minor events</w:t>
            </w:r>
            <w:r w:rsidRPr="00785D29">
              <w:rPr>
                <w:rFonts w:ascii="Arial" w:hAnsi="Arial" w:cs="Arial"/>
                <w:sz w:val="20"/>
                <w:szCs w:val="20"/>
                <w:vertAlign w:val="superscript"/>
              </w:rPr>
              <w:t>(</w:t>
            </w:r>
            <w:hyperlink r:id="rId63"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moderate events</w:t>
            </w:r>
            <w:r w:rsidRPr="00785D29">
              <w:rPr>
                <w:rFonts w:ascii="Arial" w:hAnsi="Arial" w:cs="Arial"/>
                <w:sz w:val="20"/>
                <w:szCs w:val="20"/>
                <w:vertAlign w:val="superscript"/>
              </w:rPr>
              <w:t>(</w:t>
            </w:r>
            <w:hyperlink r:id="rId64"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major events</w:t>
            </w:r>
            <w:r w:rsidRPr="00785D29">
              <w:rPr>
                <w:rFonts w:ascii="Arial" w:hAnsi="Arial" w:cs="Arial"/>
                <w:sz w:val="20"/>
                <w:szCs w:val="20"/>
                <w:vertAlign w:val="superscript"/>
              </w:rPr>
              <w:t>(</w:t>
            </w:r>
            <w:hyperlink r:id="rId65"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grand events</w:t>
            </w:r>
            <w:r w:rsidRPr="00785D29">
              <w:rPr>
                <w:rFonts w:ascii="Arial" w:hAnsi="Arial" w:cs="Arial"/>
                <w:sz w:val="20"/>
                <w:szCs w:val="20"/>
                <w:vertAlign w:val="superscript"/>
              </w:rPr>
              <w:t>(</w:t>
            </w:r>
            <w:hyperlink r:id="rId66"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held at Woodfordia</w:t>
            </w:r>
            <w:r w:rsidRPr="00785D29">
              <w:rPr>
                <w:rFonts w:ascii="Arial" w:hAnsi="Arial" w:cs="Arial"/>
                <w:sz w:val="20"/>
                <w:szCs w:val="20"/>
                <w:vertAlign w:val="superscript"/>
              </w:rPr>
              <w:t>(</w:t>
            </w:r>
            <w:hyperlink r:id="rId6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available to Council and the Department of Transport and Main Roads on request and detailing:</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dates and hours of operation of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a brief description of the activities that occurred during individual events;</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size of individual events, and estimated actual attendance</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arrival and departure transport profile of the events ;</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nature and quantity of complaints received by the event operator during the event;</w:t>
            </w:r>
          </w:p>
          <w:p w:rsidR="00E42F79" w:rsidRPr="00785D29" w:rsidRDefault="00E42F79" w:rsidP="00E42F79">
            <w:pPr>
              <w:numPr>
                <w:ilvl w:val="0"/>
                <w:numId w:val="8"/>
              </w:numPr>
              <w:rPr>
                <w:rFonts w:ascii="Arial" w:hAnsi="Arial" w:cs="Arial"/>
                <w:sz w:val="20"/>
                <w:szCs w:val="20"/>
              </w:rPr>
            </w:pPr>
            <w:r w:rsidRPr="00785D29">
              <w:rPr>
                <w:rFonts w:ascii="Arial" w:hAnsi="Arial" w:cs="Arial"/>
                <w:sz w:val="20"/>
                <w:szCs w:val="20"/>
              </w:rPr>
              <w:t>the details of any action taken by the Woodfordia event</w:t>
            </w:r>
            <w:r w:rsidRPr="00785D29">
              <w:rPr>
                <w:rFonts w:ascii="Arial" w:hAnsi="Arial" w:cs="Arial"/>
                <w:sz w:val="20"/>
                <w:szCs w:val="20"/>
                <w:vertAlign w:val="superscript"/>
              </w:rPr>
              <w:t>(</w:t>
            </w:r>
            <w:hyperlink r:id="rId6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operator in response to the complaint.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6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prepare a consultation management plan, available to Council on request and detailing:</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objectives of community consultation;</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the nature and forms of consultation that will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when consultation with be carried out;</w:t>
            </w:r>
          </w:p>
          <w:p w:rsidR="00E42F79" w:rsidRPr="00785D29" w:rsidRDefault="00E42F79" w:rsidP="00E42F79">
            <w:pPr>
              <w:numPr>
                <w:ilvl w:val="0"/>
                <w:numId w:val="9"/>
              </w:numPr>
              <w:rPr>
                <w:rFonts w:ascii="Arial" w:hAnsi="Arial" w:cs="Arial"/>
                <w:sz w:val="20"/>
                <w:szCs w:val="20"/>
              </w:rPr>
            </w:pPr>
            <w:r w:rsidRPr="00785D29">
              <w:rPr>
                <w:rFonts w:ascii="Arial" w:hAnsi="Arial" w:cs="Arial"/>
                <w:sz w:val="20"/>
                <w:szCs w:val="20"/>
              </w:rPr>
              <w:t>who is responsible for undertaking consultation.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 events</w:t>
            </w:r>
            <w:r w:rsidRPr="00785D29">
              <w:rPr>
                <w:rFonts w:ascii="Arial" w:hAnsi="Arial" w:cs="Arial"/>
                <w:sz w:val="20"/>
                <w:szCs w:val="20"/>
                <w:vertAlign w:val="superscript"/>
              </w:rPr>
              <w:t>(</w:t>
            </w:r>
            <w:hyperlink r:id="rId7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are conducted in accordance with an acoustic management plan, prepared by a suitably qualified person and approved by Council prior to the public promotion and ticket sales of the event.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Acoustic management plans prepared for a Woodfordia event</w:t>
            </w:r>
            <w:r w:rsidRPr="00785D29">
              <w:rPr>
                <w:rFonts w:ascii="Arial" w:hAnsi="Arial" w:cs="Arial"/>
                <w:sz w:val="20"/>
                <w:szCs w:val="20"/>
                <w:vertAlign w:val="superscript"/>
              </w:rPr>
              <w:t>(</w:t>
            </w:r>
            <w:hyperlink r:id="rId7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address all potential noise impacts in accordance with Planning scheme policy - Noise;</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identify how the potential impacts of noise from the Woodfordia event</w:t>
            </w:r>
            <w:r w:rsidRPr="00785D29">
              <w:rPr>
                <w:rFonts w:ascii="Arial" w:hAnsi="Arial" w:cs="Arial"/>
                <w:sz w:val="20"/>
                <w:szCs w:val="20"/>
                <w:vertAlign w:val="superscript"/>
              </w:rPr>
              <w:t>(</w:t>
            </w:r>
            <w:hyperlink r:id="rId7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will be managed to satisfy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identify any special arrangements that may need to be put in place to achieve compliance with the requirements of the Environmental Protection (Noise) Policy 2008;</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be submitted to Council and approved at least eight (8) weeks prior to the public promotion and ticket sales of the Woodfordia event</w:t>
            </w:r>
            <w:r w:rsidRPr="00785D29">
              <w:rPr>
                <w:rFonts w:ascii="Arial" w:hAnsi="Arial" w:cs="Arial"/>
                <w:sz w:val="20"/>
                <w:szCs w:val="20"/>
                <w:vertAlign w:val="superscript"/>
              </w:rPr>
              <w:t>(</w:t>
            </w:r>
            <w:hyperlink r:id="rId7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be implemented as approved, including any variations or conditions imposed;</w:t>
            </w:r>
          </w:p>
          <w:p w:rsidR="00E42F79" w:rsidRPr="00785D29" w:rsidRDefault="00E42F79" w:rsidP="00E42F79">
            <w:pPr>
              <w:numPr>
                <w:ilvl w:val="0"/>
                <w:numId w:val="10"/>
              </w:numPr>
              <w:rPr>
                <w:rFonts w:ascii="Arial" w:hAnsi="Arial" w:cs="Arial"/>
                <w:sz w:val="20"/>
                <w:szCs w:val="20"/>
              </w:rPr>
            </w:pPr>
            <w:r w:rsidRPr="00785D29">
              <w:rPr>
                <w:rFonts w:ascii="Arial" w:hAnsi="Arial" w:cs="Arial"/>
                <w:sz w:val="20"/>
                <w:szCs w:val="20"/>
              </w:rPr>
              <w:t>provide opportunities for feedback from the community.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To remove any doubt, nothing in this requirement prevents the submission of an acoustic management plan that is applicable to more than one Woodfordia event</w:t>
                  </w:r>
                  <w:r w:rsidRPr="00B157AC">
                    <w:rPr>
                      <w:rFonts w:ascii="Arial" w:hAnsi="Arial" w:cs="Arial"/>
                      <w:sz w:val="18"/>
                      <w:szCs w:val="20"/>
                      <w:vertAlign w:val="superscript"/>
                    </w:rPr>
                    <w:t>(</w:t>
                  </w:r>
                  <w:hyperlink r:id="rId7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an acoustic management plan is applicable to more than one Woodfordia event</w:t>
            </w:r>
            <w:r w:rsidRPr="00785D29">
              <w:rPr>
                <w:rFonts w:ascii="Arial" w:hAnsi="Arial" w:cs="Arial"/>
                <w:sz w:val="20"/>
                <w:szCs w:val="20"/>
                <w:vertAlign w:val="superscript"/>
              </w:rPr>
              <w:t>(</w:t>
            </w:r>
            <w:hyperlink r:id="rId7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an opportunity for the review of the acoustic management plan after each Woodfordia event</w:t>
            </w:r>
            <w:r w:rsidRPr="00785D29">
              <w:rPr>
                <w:rFonts w:ascii="Arial" w:hAnsi="Arial" w:cs="Arial"/>
                <w:sz w:val="20"/>
                <w:szCs w:val="20"/>
                <w:vertAlign w:val="superscript"/>
              </w:rPr>
              <w:t>(</w:t>
            </w:r>
            <w:hyperlink r:id="rId7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provided, having regard to the operation of the previous Woodfordia event</w:t>
            </w:r>
            <w:r w:rsidRPr="00785D29">
              <w:rPr>
                <w:rFonts w:ascii="Arial" w:hAnsi="Arial" w:cs="Arial"/>
                <w:sz w:val="20"/>
                <w:szCs w:val="20"/>
                <w:vertAlign w:val="superscript"/>
              </w:rPr>
              <w:t>(</w:t>
            </w:r>
            <w:hyperlink r:id="rId7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and receipt of any relevant complaints received during the previous Woodfordia event</w:t>
            </w:r>
            <w:r w:rsidRPr="00785D29">
              <w:rPr>
                <w:rFonts w:ascii="Arial" w:hAnsi="Arial" w:cs="Arial"/>
                <w:sz w:val="20"/>
                <w:szCs w:val="20"/>
                <w:vertAlign w:val="superscript"/>
              </w:rPr>
              <w:t>(</w:t>
            </w:r>
            <w:hyperlink r:id="rId7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Activities not associated with a Woodfordia event</w:t>
            </w:r>
            <w:r w:rsidRPr="00785D29">
              <w:rPr>
                <w:rFonts w:ascii="Arial" w:hAnsi="Arial" w:cs="Arial"/>
                <w:sz w:val="20"/>
                <w:szCs w:val="20"/>
                <w:vertAlign w:val="superscript"/>
              </w:rPr>
              <w:t>(</w:t>
            </w:r>
            <w:hyperlink r:id="rId7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achieve compliance with the requirements of the Environmental Protection (Noise) Policy 2008.</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controller of Woodfordia</w:t>
            </w:r>
            <w:r w:rsidRPr="00785D29">
              <w:rPr>
                <w:rFonts w:ascii="Arial" w:hAnsi="Arial" w:cs="Arial"/>
                <w:sz w:val="20"/>
                <w:szCs w:val="20"/>
                <w:vertAlign w:val="superscript"/>
              </w:rPr>
              <w:t>(</w:t>
            </w:r>
            <w:hyperlink r:id="rId8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to ensure Woodfordia events</w:t>
            </w:r>
            <w:r w:rsidRPr="00785D29">
              <w:rPr>
                <w:rFonts w:ascii="Arial" w:hAnsi="Arial" w:cs="Arial"/>
                <w:sz w:val="20"/>
                <w:szCs w:val="20"/>
                <w:vertAlign w:val="superscript"/>
              </w:rPr>
              <w:t>(</w:t>
            </w:r>
            <w:hyperlink r:id="rId8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greater than 350 people, are operated in accordance with a Traffic Management Plan or a Transport and access management plan approved by Council, the Department of Transport and Main Roads and the Queensland Police Service prior to the Woodfordia event</w:t>
            </w:r>
            <w:r w:rsidRPr="00785D29">
              <w:rPr>
                <w:rFonts w:ascii="Arial" w:hAnsi="Arial" w:cs="Arial"/>
                <w:sz w:val="20"/>
                <w:szCs w:val="20"/>
                <w:vertAlign w:val="superscript"/>
              </w:rPr>
              <w:t>(</w:t>
            </w:r>
            <w:hyperlink r:id="rId82"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4650"/>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RAD18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For every Woodfordia event</w:t>
            </w:r>
            <w:r w:rsidRPr="00785D29">
              <w:rPr>
                <w:rFonts w:ascii="Arial" w:hAnsi="Arial" w:cs="Arial"/>
                <w:sz w:val="20"/>
                <w:szCs w:val="20"/>
                <w:vertAlign w:val="superscript"/>
              </w:rPr>
              <w:t>(</w:t>
            </w:r>
            <w:hyperlink r:id="rId8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where no more than 350 persons are in attendance at any point in time:</w:t>
            </w:r>
          </w:p>
          <w:p w:rsidR="00E42F79" w:rsidRPr="00785D29" w:rsidRDefault="00E42F79" w:rsidP="00E42F79">
            <w:pPr>
              <w:numPr>
                <w:ilvl w:val="0"/>
                <w:numId w:val="11"/>
              </w:numPr>
              <w:rPr>
                <w:rFonts w:ascii="Arial" w:hAnsi="Arial" w:cs="Arial"/>
                <w:sz w:val="20"/>
                <w:szCs w:val="20"/>
              </w:rPr>
            </w:pPr>
            <w:r w:rsidRPr="00785D29">
              <w:rPr>
                <w:rFonts w:ascii="Arial" w:hAnsi="Arial" w:cs="Arial"/>
                <w:sz w:val="20"/>
                <w:szCs w:val="20"/>
              </w:rPr>
              <w:t>upgrading works have been undertaken to the intersection of Kilcoy – Beerwah Road and Woodrow Road to achieve the geometry, sightlines and construction standard generally in accordance with the concept plan shown in Figure 7.2.2.3 and event guide/directional signs complying with Figure 7.2.2.4 have been permanently installed along the southern and northern approaches to the intersection;</w:t>
            </w:r>
          </w:p>
          <w:p w:rsidR="00E42F79" w:rsidRPr="00785D29" w:rsidRDefault="00E42F79" w:rsidP="00E42F79">
            <w:pPr>
              <w:rPr>
                <w:rFonts w:ascii="Arial" w:hAnsi="Arial" w:cs="Arial"/>
                <w:sz w:val="20"/>
                <w:szCs w:val="20"/>
              </w:rPr>
            </w:pPr>
            <w:r w:rsidRPr="00785D29">
              <w:rPr>
                <w:rFonts w:ascii="Arial" w:hAnsi="Arial" w:cs="Arial"/>
                <w:sz w:val="20"/>
                <w:szCs w:val="20"/>
              </w:rPr>
              <w:t>OR</w:t>
            </w:r>
          </w:p>
          <w:p w:rsidR="00E42F79" w:rsidRPr="00785D29" w:rsidRDefault="00E42F79" w:rsidP="00E42F79">
            <w:pPr>
              <w:numPr>
                <w:ilvl w:val="0"/>
                <w:numId w:val="12"/>
              </w:numPr>
              <w:rPr>
                <w:rFonts w:ascii="Arial" w:hAnsi="Arial" w:cs="Arial"/>
                <w:sz w:val="20"/>
                <w:szCs w:val="20"/>
              </w:rPr>
            </w:pPr>
            <w:r w:rsidRPr="00785D29">
              <w:rPr>
                <w:rFonts w:ascii="Arial" w:hAnsi="Arial" w:cs="Arial"/>
                <w:sz w:val="20"/>
                <w:szCs w:val="20"/>
              </w:rPr>
              <w:t>traffic management is undertaken in the manner prescribed in an traffic management plan that has been prepared, submitted and subsequently approved.</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an traffic management plan that is applicable to more than one Woodfordia event. Such a traffic management plan must fully address the specific characteristics associated with each Woodfordia event and any approval of the plan will be subject to a condition that the entity having overall responsibility for its implementation must keep detailed records of traffic related complaints received during the course of the Woodfordia event.</w:t>
                  </w:r>
                </w:p>
              </w:tc>
            </w:tr>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 approved traffic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RAD19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 minor event</w:t>
            </w:r>
            <w:r w:rsidRPr="00785D29">
              <w:rPr>
                <w:rFonts w:ascii="Arial" w:hAnsi="Arial" w:cs="Arial"/>
                <w:sz w:val="20"/>
                <w:szCs w:val="20"/>
                <w:vertAlign w:val="superscript"/>
              </w:rPr>
              <w:t>(</w:t>
            </w:r>
            <w:hyperlink r:id="rId84" w:anchor="target-d768251e574633" w:tooltip="Minor event- A Woodfordia event with more than 350 people and no more than 2,000 people in attendance at any one time." w:history="1">
              <w:r w:rsidRPr="00785D29">
                <w:rPr>
                  <w:rStyle w:val="Hyperlink"/>
                  <w:rFonts w:ascii="Arial" w:hAnsi="Arial" w:cs="Arial"/>
                  <w:sz w:val="20"/>
                  <w:szCs w:val="20"/>
                  <w:vertAlign w:val="superscript"/>
                </w:rPr>
                <w:t>98</w:t>
              </w:r>
            </w:hyperlink>
            <w:r w:rsidRPr="00785D29">
              <w:rPr>
                <w:rFonts w:ascii="Arial" w:hAnsi="Arial" w:cs="Arial"/>
                <w:sz w:val="20"/>
                <w:szCs w:val="20"/>
                <w:vertAlign w:val="superscript"/>
              </w:rPr>
              <w:t>)</w:t>
            </w:r>
            <w:r w:rsidRPr="00785D29">
              <w:rPr>
                <w:rFonts w:ascii="Arial" w:hAnsi="Arial" w:cs="Arial"/>
                <w:sz w:val="20"/>
                <w:szCs w:val="20"/>
              </w:rPr>
              <w:t xml:space="preserve"> is operated in accordance with a traffic management plan prepared by a suitably qualified person and approved by Council, the Department of Transport and Main Roads and the Queensland Police Service prior to the Woodfordia event</w:t>
            </w:r>
            <w:r w:rsidRPr="00785D29">
              <w:rPr>
                <w:rFonts w:ascii="Arial" w:hAnsi="Arial" w:cs="Arial"/>
                <w:sz w:val="20"/>
                <w:szCs w:val="20"/>
                <w:vertAlign w:val="superscript"/>
              </w:rPr>
              <w:t>(</w:t>
            </w:r>
            <w:hyperlink r:id="rId8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 traffic management plan that is applicable to more than one Woodfordia event</w:t>
                  </w:r>
                  <w:r w:rsidRPr="00B157AC">
                    <w:rPr>
                      <w:rFonts w:ascii="Arial" w:hAnsi="Arial" w:cs="Arial"/>
                      <w:sz w:val="18"/>
                      <w:szCs w:val="20"/>
                      <w:vertAlign w:val="superscript"/>
                    </w:rPr>
                    <w:t>(</w:t>
                  </w:r>
                  <w:hyperlink r:id="rId8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3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For every Grand event</w:t>
            </w:r>
            <w:r w:rsidRPr="00785D29">
              <w:rPr>
                <w:rFonts w:ascii="Arial" w:hAnsi="Arial" w:cs="Arial"/>
                <w:sz w:val="20"/>
                <w:szCs w:val="20"/>
                <w:vertAlign w:val="superscript"/>
              </w:rPr>
              <w:t>(</w:t>
            </w:r>
            <w:hyperlink r:id="rId87"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Major event</w:t>
            </w:r>
            <w:r w:rsidRPr="00785D29">
              <w:rPr>
                <w:rFonts w:ascii="Arial" w:hAnsi="Arial" w:cs="Arial"/>
                <w:sz w:val="20"/>
                <w:szCs w:val="20"/>
                <w:vertAlign w:val="superscript"/>
              </w:rPr>
              <w:t>(</w:t>
            </w:r>
            <w:hyperlink r:id="rId88"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or Moderate event</w:t>
            </w:r>
            <w:r w:rsidRPr="00785D29">
              <w:rPr>
                <w:rFonts w:ascii="Arial" w:hAnsi="Arial" w:cs="Arial"/>
                <w:sz w:val="20"/>
                <w:szCs w:val="20"/>
                <w:vertAlign w:val="superscript"/>
              </w:rPr>
              <w:t>(</w:t>
            </w:r>
            <w:hyperlink r:id="rId89"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traffic management is undertaken in the manner prescribed in a Transport and access management plan that has been prepared, submitted and subsequently approved in accordance with the following: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has been prepared by a person with suitable qualifications in traffic management and engineering;</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lastRenderedPageBreak/>
              <w:t>the plan has been prepared in consultation with Council,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in Planning scheme policy – Integrated Transport Assessment that are relevant to the context;</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addresses all matters contained section 1.43.5 within volume 1 of the Traffic and Road Use Management Manual – Special Events Affecting Roads in Queensland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conforms with the Manual of Uniform Traffic Control Devices Part 3 Works on Roads (Department of Transport and Main Roads);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the Department of Transport and Main Roads and the Queensland Police Service with sufficient lead time to allow a minimum of four (4)  weeks for assessment, review and approval prior to lodgement with Council;</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is submitted to Council a minimum of 8 weeks prior for Grand events</w:t>
            </w:r>
            <w:r w:rsidRPr="00785D29">
              <w:rPr>
                <w:rFonts w:ascii="Arial" w:hAnsi="Arial" w:cs="Arial"/>
                <w:sz w:val="20"/>
                <w:szCs w:val="20"/>
                <w:vertAlign w:val="superscript"/>
              </w:rPr>
              <w:t>(</w:t>
            </w:r>
            <w:hyperlink r:id="rId90" w:anchor="target-d768251e574361" w:tooltip="Grand event- A Woodfordia event with more than 25,000 people in attendance at any one time." w:history="1">
              <w:r w:rsidRPr="00785D29">
                <w:rPr>
                  <w:rStyle w:val="Hyperlink"/>
                  <w:rFonts w:ascii="Arial" w:hAnsi="Arial" w:cs="Arial"/>
                  <w:sz w:val="20"/>
                  <w:szCs w:val="20"/>
                  <w:vertAlign w:val="superscript"/>
                </w:rPr>
                <w:t>96</w:t>
              </w:r>
            </w:hyperlink>
            <w:r w:rsidRPr="00785D29">
              <w:rPr>
                <w:rFonts w:ascii="Arial" w:hAnsi="Arial" w:cs="Arial"/>
                <w:sz w:val="20"/>
                <w:szCs w:val="20"/>
                <w:vertAlign w:val="superscript"/>
              </w:rPr>
              <w:t>)</w:t>
            </w:r>
            <w:r w:rsidRPr="00785D29">
              <w:rPr>
                <w:rFonts w:ascii="Arial" w:hAnsi="Arial" w:cs="Arial"/>
                <w:sz w:val="20"/>
                <w:szCs w:val="20"/>
              </w:rPr>
              <w:t xml:space="preserve"> and Major events</w:t>
            </w:r>
            <w:r w:rsidRPr="00785D29">
              <w:rPr>
                <w:rFonts w:ascii="Arial" w:hAnsi="Arial" w:cs="Arial"/>
                <w:sz w:val="20"/>
                <w:szCs w:val="20"/>
                <w:vertAlign w:val="superscript"/>
              </w:rPr>
              <w:t>(</w:t>
            </w:r>
            <w:hyperlink r:id="rId91" w:anchor="target-d768251e574565" w:tooltip="Major event- A Woodfordia event with more than 8,000 people and no more than 25,000 people in attendance at any one time." w:history="1">
              <w:r w:rsidRPr="00785D29">
                <w:rPr>
                  <w:rStyle w:val="Hyperlink"/>
                  <w:rFonts w:ascii="Arial" w:hAnsi="Arial" w:cs="Arial"/>
                  <w:sz w:val="20"/>
                  <w:szCs w:val="20"/>
                  <w:vertAlign w:val="superscript"/>
                </w:rPr>
                <w:t>97</w:t>
              </w:r>
            </w:hyperlink>
            <w:r w:rsidRPr="00785D29">
              <w:rPr>
                <w:rFonts w:ascii="Arial" w:hAnsi="Arial" w:cs="Arial"/>
                <w:sz w:val="20"/>
                <w:szCs w:val="20"/>
                <w:vertAlign w:val="superscript"/>
              </w:rPr>
              <w:t>)</w:t>
            </w:r>
            <w:r w:rsidRPr="00785D29">
              <w:rPr>
                <w:rFonts w:ascii="Arial" w:hAnsi="Arial" w:cs="Arial"/>
                <w:sz w:val="20"/>
                <w:szCs w:val="20"/>
              </w:rPr>
              <w:t xml:space="preserve"> and 4 weeks for Moderate events</w:t>
            </w:r>
            <w:r w:rsidRPr="00785D29">
              <w:rPr>
                <w:rFonts w:ascii="Arial" w:hAnsi="Arial" w:cs="Arial"/>
                <w:sz w:val="20"/>
                <w:szCs w:val="20"/>
                <w:vertAlign w:val="superscript"/>
              </w:rPr>
              <w:t>(</w:t>
            </w:r>
            <w:hyperlink r:id="rId92" w:anchor="target-d768251e574649" w:tooltip="Moderate event- A Woodfordia event with more than 2,000 people and no more than 8,000 people in attendance at any one time." w:history="1">
              <w:r w:rsidRPr="00785D29">
                <w:rPr>
                  <w:rStyle w:val="Hyperlink"/>
                  <w:rFonts w:ascii="Arial" w:hAnsi="Arial" w:cs="Arial"/>
                  <w:sz w:val="20"/>
                  <w:szCs w:val="20"/>
                  <w:vertAlign w:val="superscript"/>
                </w:rPr>
                <w:t>99</w:t>
              </w:r>
            </w:hyperlink>
            <w:r w:rsidRPr="00785D29">
              <w:rPr>
                <w:rFonts w:ascii="Arial" w:hAnsi="Arial" w:cs="Arial"/>
                <w:sz w:val="20"/>
                <w:szCs w:val="20"/>
                <w:vertAlign w:val="superscript"/>
              </w:rPr>
              <w:t>)</w:t>
            </w:r>
            <w:r w:rsidRPr="00785D29">
              <w:rPr>
                <w:rFonts w:ascii="Arial" w:hAnsi="Arial" w:cs="Arial"/>
                <w:sz w:val="20"/>
                <w:szCs w:val="20"/>
              </w:rPr>
              <w:t xml:space="preserve"> prior to the Woodfordia event</w:t>
            </w:r>
            <w:r w:rsidRPr="00785D29">
              <w:rPr>
                <w:rFonts w:ascii="Arial" w:hAnsi="Arial" w:cs="Arial"/>
                <w:sz w:val="20"/>
                <w:szCs w:val="20"/>
                <w:vertAlign w:val="superscript"/>
              </w:rPr>
              <w:t>(</w:t>
            </w:r>
            <w:hyperlink r:id="rId9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allow for assessment, review and approval, and includes evidence of approval by the Department of Transport and Main Roads and the Queensland Police Service;</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provides priority access during Woodfordia events</w:t>
            </w:r>
            <w:r w:rsidRPr="00785D29">
              <w:rPr>
                <w:rFonts w:ascii="Arial" w:hAnsi="Arial" w:cs="Arial"/>
                <w:sz w:val="20"/>
                <w:szCs w:val="20"/>
                <w:vertAlign w:val="superscript"/>
              </w:rPr>
              <w:t>(</w:t>
            </w:r>
            <w:hyperlink r:id="rId9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to emergency vehicles and local residents accessing their properties;</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incorporates emergency traffic management procedures that cater for the emergency exit of all patrons of the site in the event the intersection of Woodrow Road and Kilcoy-Beerwah Road is closed;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identifies where the location of parking for the particular Woodfordia event</w:t>
            </w:r>
            <w:r w:rsidRPr="00785D29">
              <w:rPr>
                <w:rFonts w:ascii="Arial" w:hAnsi="Arial" w:cs="Arial"/>
                <w:sz w:val="20"/>
                <w:szCs w:val="20"/>
                <w:vertAlign w:val="superscript"/>
              </w:rPr>
              <w:t>(</w:t>
            </w:r>
            <w:hyperlink r:id="rId9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is to be located and if there is more than one parking location, how the use of those parking areas will be managed;</w:t>
            </w:r>
          </w:p>
          <w:p w:rsidR="00E42F79" w:rsidRPr="00785D29" w:rsidRDefault="00E42F79" w:rsidP="00E42F79">
            <w:pPr>
              <w:numPr>
                <w:ilvl w:val="0"/>
                <w:numId w:val="13"/>
              </w:numPr>
              <w:rPr>
                <w:rFonts w:ascii="Arial" w:hAnsi="Arial" w:cs="Arial"/>
                <w:sz w:val="20"/>
                <w:szCs w:val="20"/>
              </w:rPr>
            </w:pPr>
            <w:r w:rsidRPr="00785D29">
              <w:rPr>
                <w:rFonts w:ascii="Arial" w:hAnsi="Arial" w:cs="Arial"/>
                <w:sz w:val="20"/>
                <w:szCs w:val="20"/>
              </w:rPr>
              <w:t>the plan identifies measures for maintaining safe pedestrian connectivity between the Eastern precinct and the balance of Woodfordia</w:t>
            </w:r>
            <w:r w:rsidRPr="00785D29">
              <w:rPr>
                <w:rFonts w:ascii="Arial" w:hAnsi="Arial" w:cs="Arial"/>
                <w:sz w:val="20"/>
                <w:szCs w:val="20"/>
                <w:vertAlign w:val="superscript"/>
              </w:rPr>
              <w:t>(</w:t>
            </w:r>
            <w:hyperlink r:id="rId9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57"/>
            </w:tblGrid>
            <w:tr w:rsidR="00E42F79" w:rsidRPr="00B157AC"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To remove any doubt, nothing in this requirement prevents the submission of a Transport and access management plan that is applicable to more than one Woodfordia event</w:t>
                  </w:r>
                  <w:r w:rsidRPr="00B157AC">
                    <w:rPr>
                      <w:rFonts w:ascii="Arial" w:hAnsi="Arial" w:cs="Arial"/>
                      <w:sz w:val="18"/>
                      <w:szCs w:val="20"/>
                      <w:vertAlign w:val="superscript"/>
                    </w:rPr>
                    <w:t>(</w:t>
                  </w:r>
                  <w:hyperlink r:id="rId97"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Such a Transport and access management plan must fully address the specific characteristics associated with each Woodfordia event</w:t>
                  </w:r>
                  <w:r w:rsidRPr="00B157AC">
                    <w:rPr>
                      <w:rFonts w:ascii="Arial" w:hAnsi="Arial" w:cs="Arial"/>
                      <w:sz w:val="18"/>
                      <w:szCs w:val="20"/>
                      <w:vertAlign w:val="superscript"/>
                    </w:rPr>
                    <w:t>(</w:t>
                  </w:r>
                  <w:hyperlink r:id="rId9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 xml:space="preserve"> and any approval of the plan will be subject to a condition that the entity having overall responsibility for its implementation keeping detailed records of traffic related complaints received during the course of the Woodfordia event</w:t>
                  </w:r>
                  <w:r w:rsidRPr="00B157AC">
                    <w:rPr>
                      <w:rFonts w:ascii="Arial" w:hAnsi="Arial" w:cs="Arial"/>
                      <w:sz w:val="18"/>
                      <w:szCs w:val="20"/>
                      <w:vertAlign w:val="superscript"/>
                    </w:rPr>
                    <w:t>(</w:t>
                  </w:r>
                  <w:hyperlink r:id="rId99"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r w:rsidR="00E42F79" w:rsidRPr="00B157AC" w:rsidTr="00E42F79">
              <w:trPr>
                <w:trHeight w:val="345"/>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The approved Transport and access management plan is to be implemented as varied or conditioned by the assessing authorities.</w:t>
                  </w:r>
                </w:p>
              </w:tc>
            </w:tr>
          </w:tbl>
          <w:p w:rsidR="00E42F79" w:rsidRPr="00B157AC" w:rsidRDefault="00E42F79" w:rsidP="00E42F7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B157AC" w:rsidTr="00E42F79">
              <w:trPr>
                <w:trHeight w:val="390"/>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lastRenderedPageBreak/>
                    <w:t>Editor's note - Guidance on how to prepare Transport access and management plans and a Traffic management plans is provided in ‘SC 6.22 Planning scheme policy - Woodfordia transport and access management’.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a Transport and access management plan or a Traffic management plan is applicable to more than one Woodfordia event</w:t>
            </w:r>
            <w:r w:rsidRPr="00785D29">
              <w:rPr>
                <w:rFonts w:ascii="Arial" w:hAnsi="Arial" w:cs="Arial"/>
                <w:sz w:val="20"/>
                <w:szCs w:val="20"/>
                <w:vertAlign w:val="superscript"/>
              </w:rPr>
              <w:t>(</w:t>
            </w:r>
            <w:hyperlink r:id="rId10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the plan is reviewed, revised as necessary and resubmitted for approval by Council and the Department of Transport and Main Roads between the Woodfordia events</w:t>
            </w:r>
            <w:r w:rsidRPr="00785D29">
              <w:rPr>
                <w:rFonts w:ascii="Arial" w:hAnsi="Arial" w:cs="Arial"/>
                <w:sz w:val="20"/>
                <w:szCs w:val="20"/>
                <w:vertAlign w:val="superscript"/>
              </w:rPr>
              <w:t>(</w:t>
            </w:r>
            <w:hyperlink r:id="rId101"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the plan. The controller of Woodfordia</w:t>
            </w:r>
            <w:r w:rsidRPr="00785D29">
              <w:rPr>
                <w:rFonts w:ascii="Arial" w:hAnsi="Arial" w:cs="Arial"/>
                <w:sz w:val="20"/>
                <w:szCs w:val="20"/>
                <w:vertAlign w:val="superscript"/>
              </w:rPr>
              <w:t>(</w:t>
            </w:r>
            <w:hyperlink r:id="rId10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must ensure the revised plan and detailed records of all traffic related complaints are submitted 4 weeks prior to the next Woodfordia event</w:t>
            </w:r>
            <w:r w:rsidRPr="00785D29">
              <w:rPr>
                <w:rFonts w:ascii="Arial" w:hAnsi="Arial" w:cs="Arial"/>
                <w:sz w:val="20"/>
                <w:szCs w:val="20"/>
                <w:vertAlign w:val="superscript"/>
              </w:rPr>
              <w:t>(</w:t>
            </w:r>
            <w:hyperlink r:id="rId103"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The revised plan must specifically address:</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observed adverse impacts on the operation of the transport network that can reasonably be attributed to previous Woodfordia events</w:t>
            </w:r>
            <w:r w:rsidRPr="00785D29">
              <w:rPr>
                <w:rFonts w:ascii="Arial" w:hAnsi="Arial" w:cs="Arial"/>
                <w:sz w:val="20"/>
                <w:szCs w:val="20"/>
                <w:vertAlign w:val="superscript"/>
              </w:rPr>
              <w:t>(</w:t>
            </w:r>
            <w:hyperlink r:id="rId104"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any transport related complaints received during the previous Woodfordia events</w:t>
            </w:r>
            <w:r w:rsidRPr="00785D29">
              <w:rPr>
                <w:rFonts w:ascii="Arial" w:hAnsi="Arial" w:cs="Arial"/>
                <w:sz w:val="20"/>
                <w:szCs w:val="20"/>
                <w:vertAlign w:val="superscript"/>
              </w:rPr>
              <w:t>(</w:t>
            </w:r>
            <w:hyperlink r:id="rId105"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xml:space="preserve"> covered by that management plan; and</w:t>
            </w:r>
          </w:p>
          <w:p w:rsidR="00E42F79" w:rsidRPr="00785D29" w:rsidRDefault="00E42F79" w:rsidP="00E42F79">
            <w:pPr>
              <w:numPr>
                <w:ilvl w:val="0"/>
                <w:numId w:val="14"/>
              </w:numPr>
              <w:rPr>
                <w:rFonts w:ascii="Arial" w:hAnsi="Arial" w:cs="Arial"/>
                <w:sz w:val="20"/>
                <w:szCs w:val="20"/>
              </w:rPr>
            </w:pPr>
            <w:r w:rsidRPr="00785D29">
              <w:rPr>
                <w:rFonts w:ascii="Arial" w:hAnsi="Arial" w:cs="Arial"/>
                <w:sz w:val="20"/>
                <w:szCs w:val="20"/>
              </w:rPr>
              <w:t>any other changes aimed at further reducing adverse impacts and minimising likely traffic induced complaints.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It is recommended that a lead time of at least 4 weeks be allowed between resubmission of the revised plan and any promotion of the next Woodfordia event</w:t>
                  </w:r>
                  <w:r w:rsidRPr="00B157AC">
                    <w:rPr>
                      <w:rFonts w:ascii="Arial" w:hAnsi="Arial" w:cs="Arial"/>
                      <w:sz w:val="18"/>
                      <w:szCs w:val="20"/>
                      <w:vertAlign w:val="superscript"/>
                    </w:rPr>
                    <w:t>(</w:t>
                  </w:r>
                  <w:hyperlink r:id="rId106"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B157AC">
                      <w:rPr>
                        <w:rStyle w:val="Hyperlink"/>
                        <w:rFonts w:ascii="Arial" w:hAnsi="Arial" w:cs="Arial"/>
                        <w:sz w:val="18"/>
                        <w:szCs w:val="20"/>
                        <w:vertAlign w:val="superscript"/>
                      </w:rPr>
                      <w:t>102</w:t>
                    </w:r>
                  </w:hyperlink>
                  <w:r w:rsidRPr="00B157AC">
                    <w:rPr>
                      <w:rFonts w:ascii="Arial" w:hAnsi="Arial" w:cs="Arial"/>
                      <w:sz w:val="18"/>
                      <w:szCs w:val="20"/>
                      <w:vertAlign w:val="superscript"/>
                    </w:rPr>
                    <w:t>)</w:t>
                  </w:r>
                  <w:r w:rsidRPr="00B157AC">
                    <w:rPr>
                      <w:rFonts w:ascii="Arial" w:hAnsi="Arial" w:cs="Arial"/>
                      <w:sz w:val="18"/>
                      <w:szCs w:val="20"/>
                    </w:rPr>
                    <w: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Access and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Vehicle access to Woodfordia</w:t>
            </w:r>
            <w:r w:rsidRPr="00785D29">
              <w:rPr>
                <w:rFonts w:ascii="Arial" w:hAnsi="Arial" w:cs="Arial"/>
                <w:sz w:val="20"/>
                <w:szCs w:val="20"/>
                <w:vertAlign w:val="superscript"/>
              </w:rPr>
              <w:t>(</w:t>
            </w:r>
            <w:hyperlink r:id="rId10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provided only through the access points shown in an approved Traffic management plan or a Transport and access management plan for the Woodfordia event</w:t>
            </w:r>
            <w:r w:rsidRPr="00785D29">
              <w:rPr>
                <w:rFonts w:ascii="Arial" w:hAnsi="Arial" w:cs="Arial"/>
                <w:sz w:val="20"/>
                <w:szCs w:val="20"/>
                <w:vertAlign w:val="superscript"/>
              </w:rPr>
              <w:t>(</w:t>
            </w:r>
            <w:hyperlink r:id="rId108"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is provided wholly within Woodfordia</w:t>
            </w:r>
            <w:r w:rsidRPr="00785D29">
              <w:rPr>
                <w:rFonts w:ascii="Arial" w:hAnsi="Arial" w:cs="Arial"/>
                <w:sz w:val="20"/>
                <w:szCs w:val="20"/>
                <w:vertAlign w:val="superscript"/>
              </w:rPr>
              <w:t>(</w:t>
            </w:r>
            <w:hyperlink r:id="rId109"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in accordance with:</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an approved Traffic management plan or a Transport and access management plan for a Woodfordia event</w:t>
            </w:r>
            <w:r w:rsidRPr="00785D29">
              <w:rPr>
                <w:rFonts w:ascii="Arial" w:hAnsi="Arial" w:cs="Arial"/>
                <w:sz w:val="20"/>
                <w:szCs w:val="20"/>
                <w:vertAlign w:val="superscript"/>
              </w:rPr>
              <w:t>(</w:t>
            </w:r>
            <w:hyperlink r:id="rId110" w:anchor="target-d768251e575573" w:tooltip="Woodfordia event- The gathering of people at Woodfordia for ceremonial, educational, conference or entertainment activities.  A Woodfordia event occurs over one or more event days.  The term includes event camping, event parking, event entertainment, event fac" w:history="1">
              <w:r w:rsidRPr="00785D29">
                <w:rPr>
                  <w:rStyle w:val="Hyperlink"/>
                  <w:rFonts w:ascii="Arial" w:hAnsi="Arial" w:cs="Arial"/>
                  <w:sz w:val="20"/>
                  <w:szCs w:val="20"/>
                  <w:vertAlign w:val="superscript"/>
                </w:rPr>
                <w:t>102</w:t>
              </w:r>
            </w:hyperlink>
            <w:r w:rsidRPr="00785D29">
              <w:rPr>
                <w:rFonts w:ascii="Arial" w:hAnsi="Arial" w:cs="Arial"/>
                <w:sz w:val="20"/>
                <w:szCs w:val="20"/>
                <w:vertAlign w:val="superscript"/>
              </w:rPr>
              <w:t>)</w:t>
            </w:r>
            <w:r w:rsidRPr="00785D29">
              <w:rPr>
                <w:rFonts w:ascii="Arial" w:hAnsi="Arial" w:cs="Arial"/>
                <w:sz w:val="20"/>
                <w:szCs w:val="20"/>
              </w:rPr>
              <w:t>; OR</w:t>
            </w:r>
          </w:p>
          <w:p w:rsidR="00E42F79" w:rsidRPr="00785D29" w:rsidRDefault="00E42F79" w:rsidP="00E42F79">
            <w:pPr>
              <w:numPr>
                <w:ilvl w:val="0"/>
                <w:numId w:val="15"/>
              </w:numPr>
              <w:rPr>
                <w:rFonts w:ascii="Arial" w:hAnsi="Arial" w:cs="Arial"/>
                <w:sz w:val="20"/>
                <w:szCs w:val="20"/>
              </w:rPr>
            </w:pPr>
            <w:r w:rsidRPr="00785D29">
              <w:rPr>
                <w:rFonts w:ascii="Arial" w:hAnsi="Arial" w:cs="Arial"/>
                <w:sz w:val="20"/>
                <w:szCs w:val="20"/>
              </w:rPr>
              <w:t>Schedule 7 - Car parking.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areas are screened from view from outside of Woodfordia</w:t>
            </w:r>
            <w:r w:rsidRPr="00785D29">
              <w:rPr>
                <w:rFonts w:ascii="Arial" w:hAnsi="Arial" w:cs="Arial"/>
                <w:sz w:val="20"/>
                <w:szCs w:val="20"/>
                <w:vertAlign w:val="superscript"/>
              </w:rPr>
              <w:t>(</w:t>
            </w:r>
            <w:hyperlink r:id="rId11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by vegetation.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All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are not located within Open space areas shown on Figure 7.2.2.2;</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are a maximum height of:</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20 metres for single stage structure in the Festival valley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15m in the Festival valley and Event support precinct;</w:t>
            </w:r>
          </w:p>
          <w:p w:rsidR="00E42F79" w:rsidRPr="00785D29" w:rsidRDefault="00E42F79" w:rsidP="00E42F79">
            <w:pPr>
              <w:numPr>
                <w:ilvl w:val="1"/>
                <w:numId w:val="16"/>
              </w:numPr>
              <w:rPr>
                <w:rFonts w:ascii="Arial" w:hAnsi="Arial" w:cs="Arial"/>
                <w:sz w:val="20"/>
                <w:szCs w:val="20"/>
              </w:rPr>
            </w:pPr>
            <w:r w:rsidRPr="00785D29">
              <w:rPr>
                <w:rFonts w:ascii="Arial" w:hAnsi="Arial" w:cs="Arial"/>
                <w:sz w:val="20"/>
                <w:szCs w:val="20"/>
              </w:rPr>
              <w:t> 8.5m in all other precincts;</w:t>
            </w:r>
          </w:p>
          <w:p w:rsidR="00E42F79" w:rsidRPr="00785D29" w:rsidRDefault="00E42F79" w:rsidP="00E42F79">
            <w:pPr>
              <w:numPr>
                <w:ilvl w:val="0"/>
                <w:numId w:val="16"/>
              </w:numPr>
              <w:rPr>
                <w:rFonts w:ascii="Arial" w:hAnsi="Arial" w:cs="Arial"/>
                <w:sz w:val="20"/>
                <w:szCs w:val="20"/>
              </w:rPr>
            </w:pPr>
            <w:r w:rsidRPr="00785D29">
              <w:rPr>
                <w:rFonts w:ascii="Arial" w:hAnsi="Arial" w:cs="Arial"/>
                <w:sz w:val="20"/>
                <w:szCs w:val="20"/>
              </w:rPr>
              <w:t>service structures and mechanical plant are screened or designed as part of the building.</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retain native vegetation on hillsides and ridgelines where possible;</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not taller than the natural height of the ridgeline formed by the surrounding topography;</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constructed in accordance with the requirements and recommendations outlined in any slope stability management plan prepared for Woodfordia</w:t>
            </w:r>
            <w:r w:rsidRPr="00785D29">
              <w:rPr>
                <w:rFonts w:ascii="Arial" w:hAnsi="Arial" w:cs="Arial"/>
                <w:sz w:val="20"/>
                <w:szCs w:val="20"/>
                <w:vertAlign w:val="superscript"/>
              </w:rPr>
              <w:t>(</w:t>
            </w:r>
            <w:hyperlink r:id="rId11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17"/>
              </w:numPr>
              <w:rPr>
                <w:rFonts w:ascii="Arial" w:hAnsi="Arial" w:cs="Arial"/>
                <w:sz w:val="20"/>
                <w:szCs w:val="20"/>
              </w:rPr>
            </w:pPr>
            <w:r w:rsidRPr="00785D29">
              <w:rPr>
                <w:rFonts w:ascii="Arial" w:hAnsi="Arial" w:cs="Arial"/>
                <w:sz w:val="20"/>
                <w:szCs w:val="20"/>
              </w:rPr>
              <w:t>are responsive to the natural topography of Woodfordia</w:t>
            </w:r>
            <w:r w:rsidRPr="00785D29">
              <w:rPr>
                <w:rFonts w:ascii="Arial" w:hAnsi="Arial" w:cs="Arial"/>
                <w:sz w:val="20"/>
                <w:szCs w:val="20"/>
                <w:vertAlign w:val="superscript"/>
              </w:rPr>
              <w:t>(</w:t>
            </w:r>
            <w:hyperlink r:id="rId11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minimising cutting and filling on hillsides.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and earthworks: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are not located within the Open space areas;</w:t>
            </w:r>
          </w:p>
          <w:p w:rsidR="00E42F79" w:rsidRPr="00785D29" w:rsidRDefault="00E42F79" w:rsidP="00E42F79">
            <w:pPr>
              <w:numPr>
                <w:ilvl w:val="0"/>
                <w:numId w:val="18"/>
              </w:numPr>
              <w:rPr>
                <w:rFonts w:ascii="Arial" w:hAnsi="Arial" w:cs="Arial"/>
                <w:sz w:val="20"/>
                <w:szCs w:val="20"/>
              </w:rPr>
            </w:pPr>
            <w:r w:rsidRPr="00785D29">
              <w:rPr>
                <w:rFonts w:ascii="Arial" w:hAnsi="Arial" w:cs="Arial"/>
                <w:sz w:val="20"/>
                <w:szCs w:val="20"/>
              </w:rPr>
              <w:t>incorporate water sensitive design features to protect the downstream water quality of the Stanley River catchment.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RAD28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Woodfordia</w:t>
            </w:r>
            <w:r w:rsidRPr="00785D29">
              <w:rPr>
                <w:rFonts w:ascii="Arial" w:hAnsi="Arial" w:cs="Arial"/>
                <w:sz w:val="20"/>
                <w:szCs w:val="20"/>
                <w:vertAlign w:val="superscript"/>
              </w:rPr>
              <w:t>(</w:t>
            </w:r>
            <w:hyperlink r:id="rId114"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 protect and enhance the natural values present in the Open space area shown on Figure 7.2.2.2.</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rHeight w:val="259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RAD29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Outside of the Open space area shown on Figure 7.2.2.2, Woodfordia</w:t>
            </w:r>
            <w:r w:rsidRPr="00785D29">
              <w:rPr>
                <w:rFonts w:ascii="Arial" w:hAnsi="Arial" w:cs="Arial"/>
                <w:sz w:val="20"/>
                <w:szCs w:val="20"/>
                <w:vertAlign w:val="superscript"/>
              </w:rPr>
              <w:t>(</w:t>
            </w:r>
            <w:hyperlink r:id="rId115"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is managed to:</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vegetation along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provide habitat connectivity between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land degradation and disturbance to dispersive soils;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minimise the release of sediment and nutrient into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retain ground cover and vegetation adjoining waterways;</w:t>
            </w:r>
          </w:p>
          <w:p w:rsidR="00E42F79" w:rsidRPr="00785D29" w:rsidRDefault="00E42F79" w:rsidP="00E42F79">
            <w:pPr>
              <w:numPr>
                <w:ilvl w:val="0"/>
                <w:numId w:val="19"/>
              </w:numPr>
              <w:rPr>
                <w:rFonts w:ascii="Arial" w:hAnsi="Arial" w:cs="Arial"/>
                <w:sz w:val="20"/>
                <w:szCs w:val="20"/>
              </w:rPr>
            </w:pPr>
            <w:r w:rsidRPr="00785D29">
              <w:rPr>
                <w:rFonts w:ascii="Arial" w:hAnsi="Arial" w:cs="Arial"/>
                <w:sz w:val="20"/>
                <w:szCs w:val="20"/>
              </w:rPr>
              <w:t>incorporate appropriate sediment control devices which maintain the quality of water discharged into waterways.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Short term accommodation</w:t>
            </w:r>
            <w:r w:rsidRPr="00785D29">
              <w:rPr>
                <w:rFonts w:ascii="Arial" w:hAnsi="Arial" w:cs="Arial"/>
                <w:sz w:val="20"/>
                <w:szCs w:val="20"/>
              </w:rPr>
              <w:t xml:space="preserve"> </w:t>
            </w:r>
            <w:r w:rsidRPr="00785D29">
              <w:rPr>
                <w:rFonts w:ascii="Arial" w:hAnsi="Arial" w:cs="Arial"/>
                <w:b/>
                <w:bCs/>
                <w:sz w:val="20"/>
                <w:szCs w:val="20"/>
              </w:rPr>
              <w:t>and caretaker's accommodation</w:t>
            </w:r>
            <w:r w:rsidRPr="00785D29">
              <w:rPr>
                <w:rFonts w:ascii="Arial" w:hAnsi="Arial" w:cs="Arial"/>
                <w:sz w:val="20"/>
                <w:szCs w:val="20"/>
                <w:vertAlign w:val="superscript"/>
              </w:rPr>
              <w:t>(</w:t>
            </w:r>
            <w:hyperlink r:id="rId116"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rHeight w:val="2565"/>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1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located outside of the Open space areas shown on Figure 7.2.2.2;</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is not located in the Camping precinct or Eastern precinct;</w:t>
            </w:r>
          </w:p>
          <w:p w:rsidR="00E42F79" w:rsidRPr="00785D29" w:rsidRDefault="00E42F79" w:rsidP="00E42F79">
            <w:pPr>
              <w:numPr>
                <w:ilvl w:val="0"/>
                <w:numId w:val="20"/>
              </w:numPr>
              <w:rPr>
                <w:rFonts w:ascii="Arial" w:hAnsi="Arial" w:cs="Arial"/>
                <w:sz w:val="20"/>
                <w:szCs w:val="20"/>
              </w:rPr>
            </w:pPr>
            <w:r w:rsidRPr="00785D29">
              <w:rPr>
                <w:rFonts w:ascii="Arial" w:hAnsi="Arial" w:cs="Arial"/>
                <w:sz w:val="20"/>
                <w:szCs w:val="20"/>
              </w:rPr>
              <w:t>does not exceed accommodation for 300 persons at Woodfordia</w:t>
            </w:r>
            <w:r w:rsidRPr="00785D29">
              <w:rPr>
                <w:rFonts w:ascii="Arial" w:hAnsi="Arial" w:cs="Arial"/>
                <w:sz w:val="20"/>
                <w:szCs w:val="20"/>
                <w:vertAlign w:val="superscript"/>
              </w:rPr>
              <w:t>(</w:t>
            </w:r>
            <w:hyperlink r:id="rId118"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Note - For clarification, event camping</w:t>
                  </w:r>
                  <w:r w:rsidRPr="00B157AC">
                    <w:rPr>
                      <w:rFonts w:ascii="Arial" w:hAnsi="Arial" w:cs="Arial"/>
                      <w:sz w:val="18"/>
                      <w:szCs w:val="20"/>
                      <w:vertAlign w:val="superscript"/>
                    </w:rPr>
                    <w:t>(</w:t>
                  </w:r>
                  <w:hyperlink r:id="rId119" w:anchor="target-d768251e574266" w:tooltip="Event camping- For Siting of tents, camper-trailers, caravans and the like, where participants are involved in an event at Woodfordia.  The term includes any associated vehicle parking and amenities." w:history="1">
                    <w:r w:rsidRPr="00B157AC">
                      <w:rPr>
                        <w:rStyle w:val="Hyperlink"/>
                        <w:rFonts w:ascii="Arial" w:hAnsi="Arial" w:cs="Arial"/>
                        <w:sz w:val="18"/>
                        <w:szCs w:val="20"/>
                        <w:vertAlign w:val="superscript"/>
                      </w:rPr>
                      <w:t>91</w:t>
                    </w:r>
                  </w:hyperlink>
                  <w:r w:rsidRPr="00B157AC">
                    <w:rPr>
                      <w:rFonts w:ascii="Arial" w:hAnsi="Arial" w:cs="Arial"/>
                      <w:sz w:val="18"/>
                      <w:szCs w:val="20"/>
                      <w:vertAlign w:val="superscript"/>
                    </w:rPr>
                    <w:t>)</w:t>
                  </w:r>
                  <w:r w:rsidRPr="00B157AC">
                    <w:rPr>
                      <w:rFonts w:ascii="Arial" w:hAnsi="Arial" w:cs="Arial"/>
                      <w:sz w:val="18"/>
                      <w:szCs w:val="20"/>
                    </w:rPr>
                    <w:t xml:space="preserve"> forms part of an event and may occur in all precincts during and around event days</w:t>
                  </w:r>
                  <w:r w:rsidRPr="00B157AC">
                    <w:rPr>
                      <w:rFonts w:ascii="Arial" w:hAnsi="Arial" w:cs="Arial"/>
                      <w:sz w:val="18"/>
                      <w:szCs w:val="20"/>
                      <w:vertAlign w:val="superscript"/>
                    </w:rPr>
                    <w:t>(</w:t>
                  </w:r>
                  <w:hyperlink r:id="rId120" w:anchor="target-d768251e574277" w:tooltip="Event day- A day on which a Woodfordia event occurs." w:history="1">
                    <w:r w:rsidRPr="00B157AC">
                      <w:rPr>
                        <w:rStyle w:val="Hyperlink"/>
                        <w:rFonts w:ascii="Arial" w:hAnsi="Arial" w:cs="Arial"/>
                        <w:sz w:val="18"/>
                        <w:szCs w:val="20"/>
                        <w:vertAlign w:val="superscript"/>
                      </w:rPr>
                      <w:t>92</w:t>
                    </w:r>
                  </w:hyperlink>
                  <w:r w:rsidRPr="00B157AC">
                    <w:rPr>
                      <w:rFonts w:ascii="Arial" w:hAnsi="Arial" w:cs="Arial"/>
                      <w:sz w:val="18"/>
                      <w:szCs w:val="20"/>
                      <w:vertAlign w:val="superscript"/>
                    </w:rPr>
                    <w:t>)</w:t>
                  </w:r>
                  <w:r w:rsidRPr="00B157AC">
                    <w:rPr>
                      <w:rFonts w:ascii="Arial" w:hAnsi="Arial" w:cs="Arial"/>
                      <w:sz w:val="18"/>
                      <w:szCs w:val="20"/>
                    </w:rPr>
                    <w:t>.  Short-term accommodation</w:t>
                  </w:r>
                  <w:r w:rsidRPr="00B157AC">
                    <w:rPr>
                      <w:rFonts w:ascii="Arial" w:hAnsi="Arial" w:cs="Arial"/>
                      <w:sz w:val="18"/>
                      <w:szCs w:val="20"/>
                      <w:vertAlign w:val="superscript"/>
                    </w:rPr>
                    <w:t>(</w:t>
                  </w:r>
                  <w:hyperlink r:id="rId121"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7AC">
                      <w:rPr>
                        <w:rStyle w:val="Hyperlink"/>
                        <w:rFonts w:ascii="Arial" w:hAnsi="Arial" w:cs="Arial"/>
                        <w:sz w:val="18"/>
                        <w:szCs w:val="20"/>
                        <w:vertAlign w:val="superscript"/>
                      </w:rPr>
                      <w:t>77</w:t>
                    </w:r>
                  </w:hyperlink>
                  <w:r w:rsidRPr="00B157AC">
                    <w:rPr>
                      <w:rFonts w:ascii="Arial" w:hAnsi="Arial" w:cs="Arial"/>
                      <w:sz w:val="18"/>
                      <w:szCs w:val="20"/>
                      <w:vertAlign w:val="superscript"/>
                    </w:rPr>
                    <w:t>)</w:t>
                  </w:r>
                  <w:r w:rsidRPr="00B157AC">
                    <w:rPr>
                      <w:rFonts w:ascii="Arial" w:hAnsi="Arial" w:cs="Arial"/>
                      <w:sz w:val="18"/>
                      <w:szCs w:val="20"/>
                    </w:rPr>
                    <w:t xml:space="preserve"> is a separately defined use, not associated with an event and is restricted to the Event facilities precinct and Festival valley precinct.</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2"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have a maximum gross floor area of 60m</w:t>
            </w:r>
            <w:r w:rsidRPr="00785D29">
              <w:rPr>
                <w:rFonts w:ascii="Arial" w:hAnsi="Arial" w:cs="Arial"/>
                <w:sz w:val="20"/>
                <w:szCs w:val="20"/>
                <w:vertAlign w:val="superscript"/>
              </w:rPr>
              <w:t>2</w:t>
            </w:r>
            <w:r w:rsidRPr="00785D29">
              <w:rPr>
                <w:rFonts w:ascii="Arial" w:hAnsi="Arial" w:cs="Arial"/>
                <w:sz w:val="20"/>
                <w:szCs w:val="20"/>
              </w:rPr>
              <w:t>, exclusive of balconies, verandas and decks.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Caretaker's accommodation</w:t>
            </w:r>
            <w:r w:rsidRPr="00785D29">
              <w:rPr>
                <w:rFonts w:ascii="Arial" w:hAnsi="Arial" w:cs="Arial"/>
                <w:sz w:val="20"/>
                <w:szCs w:val="20"/>
                <w:vertAlign w:val="superscript"/>
              </w:rPr>
              <w:t>(</w:t>
            </w:r>
            <w:hyperlink r:id="rId123" w:anchor="target-d768251e570643" w:tooltip="Caretaker’s accommodation - A dwelling provided for a caretaker of a non-residential use on the same premises." w:history="1">
              <w:r w:rsidRPr="00785D29">
                <w:rPr>
                  <w:rStyle w:val="Hyperlink"/>
                  <w:rFonts w:ascii="Arial" w:hAnsi="Arial" w:cs="Arial"/>
                  <w:sz w:val="20"/>
                  <w:szCs w:val="20"/>
                  <w:vertAlign w:val="superscript"/>
                </w:rPr>
                <w:t>10</w:t>
              </w:r>
            </w:hyperlink>
            <w:r w:rsidRPr="00785D29">
              <w:rPr>
                <w:rFonts w:ascii="Arial" w:hAnsi="Arial" w:cs="Arial"/>
                <w:sz w:val="20"/>
                <w:szCs w:val="20"/>
                <w:vertAlign w:val="superscript"/>
              </w:rPr>
              <w:t>)</w:t>
            </w:r>
            <w:r w:rsidRPr="00785D29">
              <w:rPr>
                <w:rFonts w:ascii="Arial" w:hAnsi="Arial" w:cs="Arial"/>
                <w:sz w:val="20"/>
                <w:szCs w:val="20"/>
              </w:rPr>
              <w: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does not exceed a total of 5 dwellings;</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not located in the Camping precinct;</w:t>
            </w:r>
          </w:p>
          <w:p w:rsidR="00E42F79" w:rsidRPr="00785D29" w:rsidRDefault="00E42F79" w:rsidP="00E42F79">
            <w:pPr>
              <w:numPr>
                <w:ilvl w:val="0"/>
                <w:numId w:val="21"/>
              </w:numPr>
              <w:rPr>
                <w:rFonts w:ascii="Arial" w:hAnsi="Arial" w:cs="Arial"/>
                <w:sz w:val="20"/>
                <w:szCs w:val="20"/>
              </w:rPr>
            </w:pPr>
            <w:r w:rsidRPr="00785D29">
              <w:rPr>
                <w:rFonts w:ascii="Arial" w:hAnsi="Arial" w:cs="Arial"/>
                <w:sz w:val="20"/>
                <w:szCs w:val="20"/>
              </w:rPr>
              <w:t>is provided with 1 car parking space per unit of accommodation.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2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t>self-contained with respect to shower and toilet facilities; or</w:t>
            </w:r>
          </w:p>
          <w:p w:rsidR="00E42F79" w:rsidRPr="00785D29" w:rsidRDefault="00E42F79" w:rsidP="00E42F79">
            <w:pPr>
              <w:numPr>
                <w:ilvl w:val="0"/>
                <w:numId w:val="22"/>
              </w:numPr>
              <w:rPr>
                <w:rFonts w:ascii="Arial" w:hAnsi="Arial" w:cs="Arial"/>
                <w:sz w:val="20"/>
                <w:szCs w:val="20"/>
              </w:rPr>
            </w:pPr>
            <w:r w:rsidRPr="00785D29">
              <w:rPr>
                <w:rFonts w:ascii="Arial" w:hAnsi="Arial" w:cs="Arial"/>
                <w:sz w:val="20"/>
                <w:szCs w:val="20"/>
              </w:rPr>
              <w:lastRenderedPageBreak/>
              <w:t>located within reasonable proximity of an amenities building with shower and toilet facilities.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When self-contained, short-term accommodation</w:t>
            </w:r>
            <w:r w:rsidRPr="00785D29">
              <w:rPr>
                <w:rFonts w:ascii="Arial" w:hAnsi="Arial" w:cs="Arial"/>
                <w:sz w:val="20"/>
                <w:szCs w:val="20"/>
                <w:vertAlign w:val="superscript"/>
              </w:rPr>
              <w:t>(</w:t>
            </w:r>
            <w:hyperlink r:id="rId125"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units are connected to:</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0"/>
                <w:numId w:val="23"/>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Educational establishment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Training or instruction is provided only in the fields associated with the maintenance of Woodfordia</w:t>
            </w:r>
            <w:r w:rsidRPr="00785D29">
              <w:rPr>
                <w:rFonts w:ascii="Arial" w:hAnsi="Arial" w:cs="Arial"/>
                <w:sz w:val="20"/>
                <w:szCs w:val="20"/>
                <w:vertAlign w:val="superscript"/>
              </w:rPr>
              <w:t>(</w:t>
            </w:r>
            <w:hyperlink r:id="rId126"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or conduct of events and remains subordinate to the primary use intended for Woodfordia</w:t>
            </w:r>
            <w:r w:rsidRPr="00785D29">
              <w:rPr>
                <w:rFonts w:ascii="Arial" w:hAnsi="Arial" w:cs="Arial"/>
                <w:sz w:val="20"/>
                <w:szCs w:val="20"/>
                <w:vertAlign w:val="superscript"/>
              </w:rPr>
              <w:t>(</w:t>
            </w:r>
            <w:hyperlink r:id="rId127"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RAD36</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1 car parking space per 10 students is provided.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On-site student accommodation:</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comprises a maximum gross floor area of 1,000m</w:t>
            </w:r>
            <w:r w:rsidRPr="00785D29">
              <w:rPr>
                <w:rFonts w:ascii="Arial" w:hAnsi="Arial" w:cs="Arial"/>
                <w:sz w:val="20"/>
                <w:szCs w:val="20"/>
                <w:vertAlign w:val="superscript"/>
              </w:rPr>
              <w:t>2</w:t>
            </w:r>
            <w:r w:rsidRPr="00785D29">
              <w:rPr>
                <w:rFonts w:ascii="Arial" w:hAnsi="Arial" w:cs="Arial"/>
                <w:sz w:val="20"/>
                <w:szCs w:val="20"/>
              </w:rPr>
              <w:t>;</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Is self-contained with respect to shower and toilet facilities, or located adjacent to an amenities building with shower and toilet facilities;</w:t>
            </w:r>
          </w:p>
          <w:p w:rsidR="00E42F79" w:rsidRPr="00785D29" w:rsidRDefault="00E42F79" w:rsidP="00E42F79">
            <w:pPr>
              <w:numPr>
                <w:ilvl w:val="0"/>
                <w:numId w:val="24"/>
              </w:numPr>
              <w:rPr>
                <w:rFonts w:ascii="Arial" w:hAnsi="Arial" w:cs="Arial"/>
                <w:sz w:val="20"/>
                <w:szCs w:val="20"/>
              </w:rPr>
            </w:pPr>
            <w:r w:rsidRPr="00785D29">
              <w:rPr>
                <w:rFonts w:ascii="Arial" w:hAnsi="Arial" w:cs="Arial"/>
                <w:sz w:val="20"/>
                <w:szCs w:val="20"/>
              </w:rPr>
              <w:t>when self-contained, on-site student accommodation is connected to:</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a potable water supply;</w:t>
            </w:r>
          </w:p>
          <w:p w:rsidR="00E42F79" w:rsidRPr="00785D29" w:rsidRDefault="00E42F79" w:rsidP="00E42F79">
            <w:pPr>
              <w:numPr>
                <w:ilvl w:val="1"/>
                <w:numId w:val="24"/>
              </w:numPr>
              <w:rPr>
                <w:rFonts w:ascii="Arial" w:hAnsi="Arial" w:cs="Arial"/>
                <w:sz w:val="20"/>
                <w:szCs w:val="20"/>
              </w:rPr>
            </w:pPr>
            <w:r w:rsidRPr="00785D29">
              <w:rPr>
                <w:rFonts w:ascii="Arial" w:hAnsi="Arial" w:cs="Arial"/>
                <w:sz w:val="20"/>
                <w:szCs w:val="20"/>
              </w:rPr>
              <w:t>the on-site sewerage treatment plant.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Office</w:t>
            </w:r>
            <w:r w:rsidRPr="00785D29">
              <w:rPr>
                <w:rFonts w:ascii="Arial" w:hAnsi="Arial" w:cs="Arial"/>
                <w:sz w:val="20"/>
                <w:szCs w:val="20"/>
                <w:vertAlign w:val="superscript"/>
              </w:rPr>
              <w:t>(</w:t>
            </w:r>
            <w:hyperlink r:id="rId12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Offices</w:t>
            </w:r>
            <w:r w:rsidRPr="00785D29">
              <w:rPr>
                <w:rFonts w:ascii="Arial" w:hAnsi="Arial" w:cs="Arial"/>
                <w:sz w:val="20"/>
                <w:szCs w:val="20"/>
                <w:vertAlign w:val="superscript"/>
              </w:rPr>
              <w:t>(</w:t>
            </w:r>
            <w:hyperlink r:id="rId12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at Woodfordia</w:t>
            </w:r>
            <w:r w:rsidRPr="00785D29">
              <w:rPr>
                <w:rFonts w:ascii="Arial" w:hAnsi="Arial" w:cs="Arial"/>
                <w:sz w:val="20"/>
                <w:szCs w:val="20"/>
                <w:vertAlign w:val="superscript"/>
              </w:rPr>
              <w:t>(</w:t>
            </w:r>
            <w:hyperlink r:id="rId130"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are used for carrying out administrative functions associated with the management of Woodfordia</w:t>
            </w:r>
            <w:r w:rsidRPr="00785D29">
              <w:rPr>
                <w:rFonts w:ascii="Arial" w:hAnsi="Arial" w:cs="Arial"/>
                <w:sz w:val="20"/>
                <w:szCs w:val="20"/>
                <w:vertAlign w:val="superscript"/>
              </w:rPr>
              <w:t>(</w:t>
            </w:r>
            <w:hyperlink r:id="rId131"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and events held at Woodfordia</w:t>
            </w:r>
            <w:r w:rsidRPr="00785D29">
              <w:rPr>
                <w:rFonts w:ascii="Arial" w:hAnsi="Arial" w:cs="Arial"/>
                <w:sz w:val="20"/>
                <w:szCs w:val="20"/>
                <w:vertAlign w:val="superscript"/>
              </w:rPr>
              <w:t>(</w:t>
            </w:r>
            <w:hyperlink r:id="rId132"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Rural uses 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RAD39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The following uses, associated buildings and structures are setback from the Woodfordia</w:t>
            </w:r>
            <w:r w:rsidRPr="00785D29">
              <w:rPr>
                <w:rFonts w:ascii="Arial" w:hAnsi="Arial" w:cs="Arial"/>
                <w:sz w:val="20"/>
                <w:szCs w:val="20"/>
                <w:vertAlign w:val="superscript"/>
              </w:rPr>
              <w:t>(</w:t>
            </w:r>
            <w:hyperlink r:id="rId133" w:anchor="target-d768251e575547" w:tooltip="Woodfordia- The area of land declared as the Woodfordia Rural Precinct in the Queensland Government Gazette Vol. 362 on 2 January 2013 under section 5.1(1)(d) of the South East Queensland Regional Plan 2009-2031 State Planning Regulatory Provisions and describ" w:history="1">
              <w:r w:rsidRPr="00785D29">
                <w:rPr>
                  <w:rStyle w:val="Hyperlink"/>
                  <w:rFonts w:ascii="Arial" w:hAnsi="Arial" w:cs="Arial"/>
                  <w:sz w:val="20"/>
                  <w:szCs w:val="20"/>
                  <w:vertAlign w:val="superscript"/>
                </w:rPr>
                <w:t>101</w:t>
              </w:r>
            </w:hyperlink>
            <w:r w:rsidRPr="00785D29">
              <w:rPr>
                <w:rFonts w:ascii="Arial" w:hAnsi="Arial" w:cs="Arial"/>
                <w:sz w:val="20"/>
                <w:szCs w:val="20"/>
                <w:vertAlign w:val="superscript"/>
              </w:rPr>
              <w:t>)</w:t>
            </w:r>
            <w:r w:rsidRPr="00785D29">
              <w:rPr>
                <w:rFonts w:ascii="Arial" w:hAnsi="Arial" w:cs="Arial"/>
                <w:sz w:val="20"/>
                <w:szCs w:val="20"/>
              </w:rPr>
              <w:t xml:space="preserve"> boundary as follows:</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 xml:space="preserve">Animal husbandry </w:t>
            </w:r>
            <w:r w:rsidRPr="00785D29">
              <w:rPr>
                <w:rFonts w:ascii="Arial" w:hAnsi="Arial" w:cs="Arial"/>
                <w:sz w:val="20"/>
                <w:szCs w:val="20"/>
                <w:vertAlign w:val="superscript"/>
              </w:rPr>
              <w:t>(</w:t>
            </w:r>
            <w:hyperlink r:id="rId134"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785D29">
                <w:rPr>
                  <w:rStyle w:val="Hyperlink"/>
                  <w:rFonts w:ascii="Arial" w:hAnsi="Arial" w:cs="Arial"/>
                  <w:sz w:val="20"/>
                  <w:szCs w:val="20"/>
                  <w:vertAlign w:val="superscript"/>
                </w:rPr>
                <w:t>4</w:t>
              </w:r>
            </w:hyperlink>
            <w:r w:rsidRPr="00785D29">
              <w:rPr>
                <w:rFonts w:ascii="Arial" w:hAnsi="Arial" w:cs="Arial"/>
                <w:sz w:val="20"/>
                <w:szCs w:val="20"/>
                <w:vertAlign w:val="superscript"/>
              </w:rPr>
              <w:t>)</w:t>
            </w:r>
            <w:r w:rsidRPr="00785D29">
              <w:rPr>
                <w:rFonts w:ascii="Arial" w:hAnsi="Arial" w:cs="Arial"/>
                <w:sz w:val="20"/>
                <w:szCs w:val="20"/>
              </w:rPr>
              <w:t xml:space="preserve"> (building only)- 10m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lastRenderedPageBreak/>
              <w:t>Animal keeping</w:t>
            </w:r>
            <w:r w:rsidRPr="00785D29">
              <w:rPr>
                <w:rFonts w:ascii="Arial" w:hAnsi="Arial" w:cs="Arial"/>
                <w:sz w:val="20"/>
                <w:szCs w:val="20"/>
                <w:vertAlign w:val="superscript"/>
              </w:rPr>
              <w:t>(</w:t>
            </w:r>
            <w:hyperlink r:id="rId135" w:anchor="target-d768251e570545" w:tooltip="Animal keeping - Premises used for boarding, breeding or training of animals.  The use may include ancillary temporary or permanent holding facilities on the same site and ancillary repair and servicing of machinery." w:history="1">
              <w:r w:rsidRPr="00785D29">
                <w:rPr>
                  <w:rStyle w:val="Hyperlink"/>
                  <w:rFonts w:ascii="Arial" w:hAnsi="Arial" w:cs="Arial"/>
                  <w:sz w:val="20"/>
                  <w:szCs w:val="20"/>
                  <w:vertAlign w:val="superscript"/>
                </w:rPr>
                <w:t>5</w:t>
              </w:r>
            </w:hyperlink>
            <w:r w:rsidRPr="00785D29">
              <w:rPr>
                <w:rFonts w:ascii="Arial" w:hAnsi="Arial" w:cs="Arial"/>
                <w:sz w:val="20"/>
                <w:szCs w:val="20"/>
                <w:vertAlign w:val="superscript"/>
              </w:rPr>
              <w:t>)</w:t>
            </w:r>
            <w:r w:rsidRPr="00785D29">
              <w:rPr>
                <w:rFonts w:ascii="Arial" w:hAnsi="Arial" w:cs="Arial"/>
                <w:sz w:val="20"/>
                <w:szCs w:val="20"/>
              </w:rPr>
              <w:t>, excluding catteries and kennels  - 20m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Cropping</w:t>
            </w:r>
            <w:r w:rsidRPr="00785D29">
              <w:rPr>
                <w:rFonts w:ascii="Arial" w:hAnsi="Arial" w:cs="Arial"/>
                <w:sz w:val="20"/>
                <w:szCs w:val="20"/>
                <w:vertAlign w:val="superscript"/>
              </w:rPr>
              <w:t>(</w:t>
            </w:r>
            <w:hyperlink r:id="rId136" w:anchor="target-d768251e570827"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785D29">
                <w:rPr>
                  <w:rStyle w:val="Hyperlink"/>
                  <w:rFonts w:ascii="Arial" w:hAnsi="Arial" w:cs="Arial"/>
                  <w:sz w:val="20"/>
                  <w:szCs w:val="20"/>
                  <w:vertAlign w:val="superscript"/>
                </w:rPr>
                <w:t>19</w:t>
              </w:r>
            </w:hyperlink>
            <w:r w:rsidRPr="00785D29">
              <w:rPr>
                <w:rFonts w:ascii="Arial" w:hAnsi="Arial" w:cs="Arial"/>
                <w:sz w:val="20"/>
                <w:szCs w:val="20"/>
                <w:vertAlign w:val="superscript"/>
              </w:rPr>
              <w:t>)</w:t>
            </w:r>
            <w:r w:rsidRPr="00785D29">
              <w:rPr>
                <w:rFonts w:ascii="Arial" w:hAnsi="Arial" w:cs="Arial"/>
                <w:sz w:val="20"/>
                <w:szCs w:val="20"/>
              </w:rPr>
              <w:t xml:space="preserve"> (building only)  – 10m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Permanent plantations</w:t>
            </w:r>
            <w:r w:rsidRPr="00785D29">
              <w:rPr>
                <w:rFonts w:ascii="Arial" w:hAnsi="Arial" w:cs="Arial"/>
                <w:sz w:val="20"/>
                <w:szCs w:val="20"/>
                <w:vertAlign w:val="superscript"/>
              </w:rPr>
              <w:t>(</w:t>
            </w:r>
            <w:hyperlink r:id="rId137"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r w:rsidRPr="00785D29">
              <w:rPr>
                <w:rFonts w:ascii="Arial" w:hAnsi="Arial" w:cs="Arial"/>
                <w:sz w:val="20"/>
                <w:szCs w:val="20"/>
              </w:rPr>
              <w:t xml:space="preserve"> – 25m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Short-term accommodation</w:t>
            </w:r>
            <w:r w:rsidRPr="00785D29">
              <w:rPr>
                <w:rFonts w:ascii="Arial" w:hAnsi="Arial" w:cs="Arial"/>
                <w:sz w:val="20"/>
                <w:szCs w:val="20"/>
                <w:vertAlign w:val="superscript"/>
              </w:rPr>
              <w:t>(</w:t>
            </w:r>
            <w:hyperlink r:id="rId138"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5D29">
                <w:rPr>
                  <w:rStyle w:val="Hyperlink"/>
                  <w:rFonts w:ascii="Arial" w:hAnsi="Arial" w:cs="Arial"/>
                  <w:sz w:val="20"/>
                  <w:szCs w:val="20"/>
                  <w:vertAlign w:val="superscript"/>
                </w:rPr>
                <w:t>77</w:t>
              </w:r>
            </w:hyperlink>
            <w:r w:rsidRPr="00785D29">
              <w:rPr>
                <w:rFonts w:ascii="Arial" w:hAnsi="Arial" w:cs="Arial"/>
                <w:sz w:val="20"/>
                <w:szCs w:val="20"/>
                <w:vertAlign w:val="superscript"/>
              </w:rPr>
              <w:t>)</w:t>
            </w:r>
            <w:r w:rsidRPr="00785D29">
              <w:rPr>
                <w:rFonts w:ascii="Arial" w:hAnsi="Arial" w:cs="Arial"/>
                <w:sz w:val="20"/>
                <w:szCs w:val="20"/>
              </w:rPr>
              <w:t xml:space="preserve"> - 40m</w:t>
            </w:r>
          </w:p>
          <w:p w:rsidR="00E42F79" w:rsidRPr="00785D29" w:rsidRDefault="00E42F79" w:rsidP="00E42F79">
            <w:pPr>
              <w:numPr>
                <w:ilvl w:val="0"/>
                <w:numId w:val="25"/>
              </w:numPr>
              <w:rPr>
                <w:rFonts w:ascii="Arial" w:hAnsi="Arial" w:cs="Arial"/>
                <w:sz w:val="20"/>
                <w:szCs w:val="20"/>
              </w:rPr>
            </w:pPr>
            <w:r w:rsidRPr="00785D29">
              <w:rPr>
                <w:rFonts w:ascii="Arial" w:hAnsi="Arial" w:cs="Arial"/>
                <w:sz w:val="20"/>
                <w:szCs w:val="20"/>
              </w:rPr>
              <w:t>Wholesale nursery</w:t>
            </w:r>
            <w:r w:rsidRPr="00785D29">
              <w:rPr>
                <w:rFonts w:ascii="Arial" w:hAnsi="Arial" w:cs="Arial"/>
                <w:sz w:val="20"/>
                <w:szCs w:val="20"/>
                <w:vertAlign w:val="superscript"/>
              </w:rPr>
              <w:t>(</w:t>
            </w:r>
            <w:hyperlink r:id="rId139" w:anchor="target-d768251e572660" w:tooltip="Wholesale nursery - Premises used for the sale of plants, but not to the general public, where the plants are grown on or adjacent to the site.  The use may include sale of gardening materials where these are ancillary to the primary use." w:history="1">
              <w:r w:rsidRPr="00785D29">
                <w:rPr>
                  <w:rStyle w:val="Hyperlink"/>
                  <w:rFonts w:ascii="Arial" w:hAnsi="Arial" w:cs="Arial"/>
                  <w:sz w:val="20"/>
                  <w:szCs w:val="20"/>
                  <w:vertAlign w:val="superscript"/>
                </w:rPr>
                <w:t>89</w:t>
              </w:r>
            </w:hyperlink>
            <w:r w:rsidRPr="00785D29">
              <w:rPr>
                <w:rFonts w:ascii="Arial" w:hAnsi="Arial" w:cs="Arial"/>
                <w:sz w:val="20"/>
                <w:szCs w:val="20"/>
                <w:vertAlign w:val="superscript"/>
              </w:rPr>
              <w:t>)</w:t>
            </w:r>
            <w:r w:rsidRPr="00785D29">
              <w:rPr>
                <w:rFonts w:ascii="Arial" w:hAnsi="Arial" w:cs="Arial"/>
                <w:sz w:val="20"/>
                <w:szCs w:val="20"/>
              </w:rPr>
              <w:t xml:space="preserve"> – 10m.</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Permanent Plantation</w:t>
            </w:r>
            <w:r w:rsidRPr="00785D29">
              <w:rPr>
                <w:rFonts w:ascii="Arial" w:hAnsi="Arial" w:cs="Arial"/>
                <w:sz w:val="20"/>
                <w:szCs w:val="20"/>
                <w:vertAlign w:val="superscript"/>
              </w:rPr>
              <w:t>(</w:t>
            </w:r>
            <w:hyperlink r:id="rId140" w:anchor="target-d768251e571772" w:tooltip="Permanent plantation - Premises used for growing plants not intended to be harvested." w:history="1">
              <w:r w:rsidRPr="00785D29">
                <w:rPr>
                  <w:rStyle w:val="Hyperlink"/>
                  <w:rFonts w:ascii="Arial" w:hAnsi="Arial" w:cs="Arial"/>
                  <w:sz w:val="20"/>
                  <w:szCs w:val="20"/>
                  <w:vertAlign w:val="superscript"/>
                </w:rPr>
                <w:t>59</w:t>
              </w:r>
            </w:hyperlink>
            <w:r w:rsidRPr="00785D29">
              <w:rPr>
                <w:rFonts w:ascii="Arial" w:hAnsi="Arial" w:cs="Arial"/>
                <w:sz w:val="20"/>
                <w:szCs w:val="20"/>
                <w:vertAlign w:val="superscript"/>
              </w:rPr>
              <w: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Planting only comprises native species endemic to the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31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Development in the Eastern precinct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c>
          <w:tcPr>
            <w:tcW w:w="1219" w:type="pct"/>
            <w:tcBorders>
              <w:top w:val="outset" w:sz="6" w:space="0" w:color="auto"/>
              <w:left w:val="outset" w:sz="6" w:space="0" w:color="auto"/>
              <w:bottom w:val="outset" w:sz="6" w:space="0" w:color="auto"/>
              <w:right w:val="outset" w:sz="6" w:space="0" w:color="auto"/>
            </w:tcBorders>
            <w:shd w:val="clear" w:color="auto" w:fill="CCCCCC"/>
          </w:tcPr>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In the Eastern precinct, the combined maximum gross floor area of food and drink outlets</w:t>
            </w:r>
            <w:r w:rsidRPr="00785D29">
              <w:rPr>
                <w:rFonts w:ascii="Arial" w:hAnsi="Arial" w:cs="Arial"/>
                <w:sz w:val="20"/>
                <w:szCs w:val="20"/>
                <w:vertAlign w:val="superscript"/>
              </w:rPr>
              <w:t>(</w:t>
            </w:r>
            <w:hyperlink r:id="rId141" w:anchor="target-d768251e571018" w:tooltip="Food and drink outlet - Premises used for preparation and sale of food and drink to the public for consumption on or off the site. The use may include the ancillary sale of liquor for consumption on site." w:history="1">
              <w:r w:rsidRPr="00785D29">
                <w:rPr>
                  <w:rStyle w:val="Hyperlink"/>
                  <w:rFonts w:ascii="Arial" w:hAnsi="Arial" w:cs="Arial"/>
                  <w:sz w:val="20"/>
                  <w:szCs w:val="20"/>
                  <w:vertAlign w:val="superscript"/>
                </w:rPr>
                <w:t>28</w:t>
              </w:r>
            </w:hyperlink>
            <w:r w:rsidRPr="00785D29">
              <w:rPr>
                <w:rFonts w:ascii="Arial" w:hAnsi="Arial" w:cs="Arial"/>
                <w:sz w:val="20"/>
                <w:szCs w:val="20"/>
                <w:vertAlign w:val="superscript"/>
              </w:rPr>
              <w:t>)</w:t>
            </w:r>
            <w:r w:rsidRPr="00785D29">
              <w:rPr>
                <w:rFonts w:ascii="Arial" w:hAnsi="Arial" w:cs="Arial"/>
                <w:sz w:val="20"/>
                <w:szCs w:val="20"/>
              </w:rPr>
              <w:t>, offices</w:t>
            </w:r>
            <w:r w:rsidRPr="00785D29">
              <w:rPr>
                <w:rFonts w:ascii="Arial" w:hAnsi="Arial" w:cs="Arial"/>
                <w:sz w:val="20"/>
                <w:szCs w:val="20"/>
                <w:vertAlign w:val="superscript"/>
              </w:rPr>
              <w:t>(</w:t>
            </w:r>
            <w:hyperlink r:id="rId142"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85D29">
                <w:rPr>
                  <w:rStyle w:val="Hyperlink"/>
                  <w:rFonts w:ascii="Arial" w:hAnsi="Arial" w:cs="Arial"/>
                  <w:sz w:val="20"/>
                  <w:szCs w:val="20"/>
                  <w:vertAlign w:val="superscript"/>
                </w:rPr>
                <w:t>53</w:t>
              </w:r>
            </w:hyperlink>
            <w:r w:rsidRPr="00785D29">
              <w:rPr>
                <w:rFonts w:ascii="Arial" w:hAnsi="Arial" w:cs="Arial"/>
                <w:sz w:val="20"/>
                <w:szCs w:val="20"/>
                <w:vertAlign w:val="superscript"/>
              </w:rPr>
              <w:t>)</w:t>
            </w:r>
            <w:r w:rsidRPr="00785D29">
              <w:rPr>
                <w:rFonts w:ascii="Arial" w:hAnsi="Arial" w:cs="Arial"/>
                <w:sz w:val="20"/>
                <w:szCs w:val="20"/>
              </w:rPr>
              <w:t xml:space="preserve"> and shops</w:t>
            </w:r>
            <w:r w:rsidRPr="00785D29">
              <w:rPr>
                <w:rFonts w:ascii="Arial" w:hAnsi="Arial" w:cs="Arial"/>
                <w:sz w:val="20"/>
                <w:szCs w:val="20"/>
                <w:vertAlign w:val="superscript"/>
              </w:rPr>
              <w:t>(</w:t>
            </w:r>
            <w:hyperlink r:id="rId143" w:anchor="target-d768251e572222" w:tooltip="Shop - Premises used for the display, sale or hire of goods or the provision of personal services or betting to the public." w:history="1">
              <w:r w:rsidRPr="00785D29">
                <w:rPr>
                  <w:rStyle w:val="Hyperlink"/>
                  <w:rFonts w:ascii="Arial" w:hAnsi="Arial" w:cs="Arial"/>
                  <w:sz w:val="20"/>
                  <w:szCs w:val="20"/>
                  <w:vertAlign w:val="superscript"/>
                </w:rPr>
                <w:t>75</w:t>
              </w:r>
            </w:hyperlink>
            <w:r w:rsidRPr="00785D29">
              <w:rPr>
                <w:rFonts w:ascii="Arial" w:hAnsi="Arial" w:cs="Arial"/>
                <w:sz w:val="20"/>
                <w:szCs w:val="20"/>
                <w:vertAlign w:val="superscript"/>
              </w:rPr>
              <w:t>)</w:t>
            </w:r>
            <w:r w:rsidRPr="00785D29">
              <w:rPr>
                <w:rFonts w:ascii="Arial" w:hAnsi="Arial" w:cs="Arial"/>
                <w:sz w:val="20"/>
                <w:szCs w:val="20"/>
              </w:rPr>
              <w:t xml:space="preserve"> does not exceed 500m</w:t>
            </w:r>
            <w:r w:rsidRPr="00785D29">
              <w:rPr>
                <w:rFonts w:ascii="Arial" w:hAnsi="Arial" w:cs="Arial"/>
                <w:sz w:val="20"/>
                <w:szCs w:val="20"/>
                <w:vertAlign w:val="superscript"/>
              </w:rPr>
              <w:t>2</w:t>
            </w:r>
            <w:r w:rsidRPr="00785D29">
              <w:rPr>
                <w:rFonts w:ascii="Arial" w:hAnsi="Arial" w:cs="Arial"/>
                <w:sz w:val="20"/>
                <w:szCs w:val="20"/>
              </w:rPr>
              <w: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in the Eastern precinct:</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a maximum height of 8.5m;</w:t>
            </w:r>
          </w:p>
          <w:p w:rsidR="00E42F79" w:rsidRPr="00785D29" w:rsidRDefault="00E42F79" w:rsidP="00E42F79">
            <w:pPr>
              <w:numPr>
                <w:ilvl w:val="0"/>
                <w:numId w:val="26"/>
              </w:numPr>
              <w:rPr>
                <w:rFonts w:ascii="Arial" w:hAnsi="Arial" w:cs="Arial"/>
                <w:sz w:val="20"/>
                <w:szCs w:val="20"/>
              </w:rPr>
            </w:pPr>
            <w:r w:rsidRPr="00785D29">
              <w:rPr>
                <w:rFonts w:ascii="Arial" w:hAnsi="Arial" w:cs="Arial"/>
                <w:sz w:val="20"/>
                <w:szCs w:val="20"/>
              </w:rPr>
              <w:t>are setback a minimum of 6.0m from Woodrow Road with dense screen planting provided in the setback.</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Vehicle access is only obtained from Woodrow Road.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RAD44</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Car parking for uses in the Eastern precinct is wholly contained within the Eastern precinct.</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RAD45</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are supplied with an adequate potable water supply and connected to an on-site effluent disposal system of a suitable design capacity to meet the needs of the buildings being established in the precinct.</w:t>
            </w:r>
          </w:p>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Clearing of habitat trees where not located in Woodfordia Open Space Areas identified within Figure 7.2.2.2</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result in the damaging,destroyed or clearing of a habitat tree. This does not apply to:</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located within an approved development footprint;</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lastRenderedPageBreak/>
              <w:t>Clearing of a habitat tree within 10m from a lawfully established building reasonably necessary for emergency access or immediately required in response to an accident or emergency;</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identified within the Woodfordia annual assessment of trees and reasonably necessary to remove or reduce the risk vegetation poses to serious personal injury or damage to infrastructure;</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reasonably necessary to construct and maintain a property boundary fence and not exceed 4m in width from the boundary fence where within the Woodfordia Local Plan area;</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reasonably necessary for the purpose of maintenance or works within a registered easement for public infrastructure or drainage purposes;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in accordance with a bushfire management plan prepared by a suitably qualified person, submitted to and accepted by Council;</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Clearing of a habitat tree associated with maintaining existing open pastures, windbreaks, lawns or created gardens;</w:t>
            </w:r>
          </w:p>
          <w:p w:rsidR="00E42F79" w:rsidRPr="00785D29" w:rsidRDefault="00E42F79" w:rsidP="00E42F79">
            <w:pPr>
              <w:numPr>
                <w:ilvl w:val="0"/>
                <w:numId w:val="27"/>
              </w:numPr>
              <w:rPr>
                <w:rFonts w:ascii="Arial" w:hAnsi="Arial" w:cs="Arial"/>
                <w:sz w:val="20"/>
                <w:szCs w:val="20"/>
              </w:rPr>
            </w:pPr>
            <w:r w:rsidRPr="00785D29">
              <w:rPr>
                <w:rFonts w:ascii="Arial" w:hAnsi="Arial" w:cs="Arial"/>
                <w:sz w:val="20"/>
                <w:szCs w:val="20"/>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42F79" w:rsidRPr="00785D29" w:rsidRDefault="00E42F79" w:rsidP="00E42F79">
            <w:pPr>
              <w:rPr>
                <w:rFonts w:ascii="Arial" w:hAnsi="Arial" w:cs="Arial"/>
                <w:b/>
                <w:bCs/>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sz w:val="20"/>
                <w:szCs w:val="20"/>
              </w:rPr>
            </w:pPr>
            <w:r w:rsidRPr="00785D29">
              <w:rPr>
                <w:rFonts w:ascii="Arial" w:hAnsi="Arial" w:cs="Arial"/>
                <w:b/>
                <w:bCs/>
                <w:sz w:val="20"/>
                <w:szCs w:val="20"/>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RAD47</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A bushfire management plan is prepared by a suitably qualified person in accordance with Planning scheme policy – Bushfire prone areas and approved by Council for the site. The management plan will include, but is not limited to, recommendations regarding fire breaks to and setbacks from adjoining vegetation, access for fire fighting appliances, water supply for fire fighting purposes, emergency evacuation procedures, landscaping treatments and construction of buildings. The plan is to be submitted to Council and the relevant fire authorities, including the Queensland Fire and Rescue Service for approval. Queensland Parks and Wildlife Service, as the agency responsible for the management of the adjacent Bellthorpe National Park are to be consulted in the preparation of this management plan.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RAD48</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Where a swimming pool is the nominated on-site fire fighting water storage source, vehicle access to within 3m of that water storage source is provided.</w:t>
            </w:r>
          </w:p>
          <w:p w:rsidR="00E42F79" w:rsidRPr="00785D29" w:rsidRDefault="00E42F79" w:rsidP="00E42F79">
            <w:pPr>
              <w:numPr>
                <w:ilvl w:val="0"/>
                <w:numId w:val="28"/>
              </w:numPr>
              <w:rPr>
                <w:rFonts w:ascii="Arial" w:hAnsi="Arial" w:cs="Arial"/>
                <w:sz w:val="20"/>
                <w:szCs w:val="20"/>
              </w:rPr>
            </w:pPr>
            <w:r w:rsidRPr="00785D29">
              <w:rPr>
                <w:rFonts w:ascii="Arial" w:hAnsi="Arial" w:cs="Arial"/>
                <w:sz w:val="20"/>
                <w:szCs w:val="20"/>
              </w:rPr>
              <w:t>Where a tank is the nominated on-site fire fighting water storage source, it includes:</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a hardstand area allowing medium rigid vehicle (15 tonne fire appliance) access within 6m of the tank;</w:t>
            </w:r>
          </w:p>
          <w:p w:rsidR="00E42F79" w:rsidRPr="00785D29" w:rsidRDefault="00E42F79" w:rsidP="00E42F79">
            <w:pPr>
              <w:numPr>
                <w:ilvl w:val="1"/>
                <w:numId w:val="28"/>
              </w:numPr>
              <w:rPr>
                <w:rFonts w:ascii="Arial" w:hAnsi="Arial" w:cs="Arial"/>
                <w:sz w:val="20"/>
                <w:szCs w:val="20"/>
              </w:rPr>
            </w:pPr>
            <w:r w:rsidRPr="00785D29">
              <w:rPr>
                <w:rFonts w:ascii="Arial" w:hAnsi="Arial" w:cs="Arial"/>
                <w:sz w:val="20"/>
                <w:szCs w:val="20"/>
              </w:rPr>
              <w:t>fire brigade tank fittings, comprising 50mm ball valve and male camlock coupling and, if underground, an access hole of 20mm (minimum) to accommodate suction lines.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ind w:left="720"/>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RAD49</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b/>
                <w:bCs/>
                <w:sz w:val="20"/>
                <w:szCs w:val="20"/>
              </w:rPr>
              <w:t>Woodfordia Open Space Areas identified within Figure 7.2.2.2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following are excluded from the native vegetation clearing provisions of this planning scheme: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located within an approved development footprint;</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identified within the annual assessment of trees and reasonably necessary to remove or reduce the risk vegetation poses to serious personal injury or damage to infrastructure;</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lastRenderedPageBreak/>
                    <w:t>Clearing of native vegetation reasonably necessary to construct and maintain a property boundary fence and not exceed 4m in width from the boundary fence where within the Woodfordia Local Plan area;</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reasonably necessary for the purpose of maintenance or works within a registered easement for public infrastructure or drainage purposes;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in accordance with a bushfire management plan prepared by a suitably qualified person, submitted to and accepted by Council;</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Clearing of native vegetation associated with removal of recognised weed species, maintaining existing open pastures and cropping land, windbreaks, lawns or created gardens;</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Grazing of native pasture by stock;</w:t>
                  </w:r>
                </w:p>
                <w:p w:rsidR="00E42F79" w:rsidRPr="00785D29" w:rsidRDefault="00E42F79" w:rsidP="00E42F79">
                  <w:pPr>
                    <w:numPr>
                      <w:ilvl w:val="0"/>
                      <w:numId w:val="29"/>
                    </w:numPr>
                    <w:rPr>
                      <w:rFonts w:ascii="Arial" w:hAnsi="Arial" w:cs="Arial"/>
                      <w:sz w:val="20"/>
                      <w:szCs w:val="20"/>
                    </w:rPr>
                  </w:pPr>
                  <w:r w:rsidRPr="00785D29">
                    <w:rPr>
                      <w:rFonts w:ascii="Arial" w:hAnsi="Arial" w:cs="Arial"/>
                      <w:sz w:val="20"/>
                      <w:szCs w:val="20"/>
                    </w:rPr>
                    <w:t>Native forest practise where accepted development under Part 1, 1.7.7 Accepted development</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lastRenderedPageBreak/>
                    <w:t>Note - Definition for native vegetation is located in Schedule 1 Definitions.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w:t>
                  </w:r>
                </w:p>
              </w:tc>
            </w:tr>
            <w:tr w:rsidR="00E42F79" w:rsidRPr="00785D29" w:rsidTr="00E42F79">
              <w:trPr>
                <w:tblCellSpacing w:w="15" w:type="dxa"/>
              </w:trPr>
              <w:tc>
                <w:tcPr>
                  <w:tcW w:w="15065" w:type="dxa"/>
                  <w:shd w:val="clear" w:color="auto" w:fill="CCCCCC"/>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The native vegetation clearing provisions do not apply where a development footprint and development recognising and responding to this constraint has been identified and approved by Council as part of a reconfiguring a lot or development approval in this and previous planning schemes.</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42F79" w:rsidRPr="00785D29" w:rsidTr="00E42F79">
              <w:trPr>
                <w:tblCellSpacing w:w="15" w:type="dxa"/>
              </w:trPr>
              <w:tc>
                <w:tcPr>
                  <w:tcW w:w="15065" w:type="dxa"/>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rsidR="00E42F79" w:rsidRPr="00785D29" w:rsidRDefault="00E42F79" w:rsidP="00E42F79">
            <w:pPr>
              <w:rPr>
                <w:rFonts w:ascii="Arial" w:hAnsi="Arial" w:cs="Arial"/>
                <w:b/>
                <w:bCs/>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RAD50</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No clearing of native vegetation is to occur on land identified within Figure 7.2.2.2 Woodfordia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See in heading above for other uses excluded from native vegetation clearing requirements.</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co-locating all associated activities, infrastructure and access strips;</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be the least valued area of koala habitat on the site;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the footprint of the development envelope area;</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minimise edge effects to areas external to the development envelope;</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lastRenderedPageBreak/>
                    <w:t>location and design consideration to ensure koala safety and movement in accordance with the Koala-sensitive Design Guideline and Planning scheme policy – Environmental areas;</w:t>
                  </w:r>
                </w:p>
                <w:p w:rsidR="00E42F79" w:rsidRPr="00B157AC" w:rsidRDefault="00E42F79" w:rsidP="00E42F79">
                  <w:pPr>
                    <w:numPr>
                      <w:ilvl w:val="0"/>
                      <w:numId w:val="30"/>
                    </w:numPr>
                    <w:rPr>
                      <w:rFonts w:ascii="Arial" w:hAnsi="Arial" w:cs="Arial"/>
                      <w:sz w:val="18"/>
                      <w:szCs w:val="20"/>
                    </w:rPr>
                  </w:pPr>
                  <w:r w:rsidRPr="00B157AC">
                    <w:rPr>
                      <w:rFonts w:ascii="Arial" w:hAnsi="Arial" w:cs="Arial"/>
                      <w:sz w:val="18"/>
                      <w:szCs w:val="20"/>
                    </w:rPr>
                    <w:t>sufficient area between the development and koala habitat trees to achieve their long-term viability.</w:t>
                  </w:r>
                </w:p>
              </w:tc>
            </w:tr>
          </w:tbl>
          <w:p w:rsidR="00E42F79" w:rsidRPr="00785D29" w:rsidRDefault="00E42F79" w:rsidP="00E42F79">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785D29" w:rsidRDefault="00E42F79" w:rsidP="00E42F79">
                  <w:pPr>
                    <w:rPr>
                      <w:rFonts w:ascii="Arial" w:hAnsi="Arial" w:cs="Arial"/>
                      <w:sz w:val="20"/>
                      <w:szCs w:val="20"/>
                    </w:rPr>
                  </w:pPr>
                  <w:r w:rsidRPr="00B157AC">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rHeight w:val="48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Landslide hazard (refer Overlay map - Landslide hazard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earthworks exceeding 50m</w:t>
            </w:r>
            <w:r w:rsidRPr="00785D29">
              <w:rPr>
                <w:rFonts w:ascii="Arial" w:hAnsi="Arial" w:cs="Arial"/>
                <w:sz w:val="20"/>
                <w:szCs w:val="20"/>
                <w:vertAlign w:val="superscript"/>
              </w:rPr>
              <w:t>3</w:t>
            </w:r>
            <w:r w:rsidRPr="00785D29">
              <w:rPr>
                <w:rFonts w:ascii="Arial" w:hAnsi="Arial" w:cs="Arial"/>
                <w:sz w:val="20"/>
                <w:szCs w:val="20"/>
              </w:rPr>
              <w:t>;</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cut and fill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involve any retaining wall having a height greater than 600mm;</w:t>
            </w:r>
          </w:p>
          <w:p w:rsidR="00E42F79" w:rsidRPr="00785D29" w:rsidRDefault="00E42F79" w:rsidP="00E42F79">
            <w:pPr>
              <w:numPr>
                <w:ilvl w:val="0"/>
                <w:numId w:val="31"/>
              </w:numPr>
              <w:rPr>
                <w:rFonts w:ascii="Arial" w:hAnsi="Arial" w:cs="Arial"/>
                <w:sz w:val="20"/>
                <w:szCs w:val="20"/>
              </w:rPr>
            </w:pPr>
            <w:r w:rsidRPr="00785D29">
              <w:rPr>
                <w:rFonts w:ascii="Arial" w:hAnsi="Arial" w:cs="Arial"/>
                <w:sz w:val="20"/>
                <w:szCs w:val="20"/>
              </w:rPr>
              <w:t>redirect or alter the existing flow of surface or groundwater.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Buildings, excluding domestic outbuildings:</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are split-level, multiple-slab, pier or pole construction;</w:t>
            </w:r>
          </w:p>
          <w:p w:rsidR="00E42F79" w:rsidRPr="00785D29" w:rsidRDefault="00E42F79" w:rsidP="00E42F79">
            <w:pPr>
              <w:numPr>
                <w:ilvl w:val="0"/>
                <w:numId w:val="32"/>
              </w:numPr>
              <w:rPr>
                <w:rFonts w:ascii="Arial" w:hAnsi="Arial" w:cs="Arial"/>
                <w:sz w:val="20"/>
                <w:szCs w:val="20"/>
              </w:rPr>
            </w:pPr>
            <w:r w:rsidRPr="00785D29">
              <w:rPr>
                <w:rFonts w:ascii="Arial" w:hAnsi="Arial" w:cs="Arial"/>
                <w:sz w:val="20"/>
                <w:szCs w:val="20"/>
              </w:rPr>
              <w:t>are not single plane slab on ground.</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manufacture, handling or storage of hazardous chemicals.</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Infrastructure buffers (refer Overlay map - Infrastructure buffers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RAD54</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does not involve the construction of any buildings or structures within the Gas pipeline buffer.</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Overland flow path (refer Overlay map - Overland flow path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RAD55</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does not involve the construction of a building or structure 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RAD56</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66"/>
            </w:tblGrid>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E42F79" w:rsidRPr="00785D29" w:rsidTr="00E42F79">
              <w:trPr>
                <w:tblCellSpacing w:w="15" w:type="dxa"/>
              </w:trPr>
              <w:tc>
                <w:tcPr>
                  <w:tcW w:w="14597" w:type="dxa"/>
                  <w:vAlign w:val="center"/>
                  <w:hideMark/>
                </w:tcPr>
                <w:p w:rsidR="00E42F79" w:rsidRPr="00B157AC" w:rsidRDefault="00E42F79" w:rsidP="00E42F79">
                  <w:pPr>
                    <w:rPr>
                      <w:rFonts w:ascii="Arial" w:hAnsi="Arial" w:cs="Arial"/>
                      <w:sz w:val="18"/>
                      <w:szCs w:val="20"/>
                    </w:rPr>
                  </w:pPr>
                  <w:r w:rsidRPr="00B157AC">
                    <w:rPr>
                      <w:rFonts w:ascii="Arial" w:hAnsi="Arial" w:cs="Arial"/>
                      <w:sz w:val="18"/>
                      <w:szCs w:val="20"/>
                    </w:rPr>
                    <w:t>Note - Reporting to be prepared in accordance with Planning scheme policy – Flood hazard, Coastal hazard and Overland flow</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RAD57</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ensures that fencing in an overland flow path area is at least 50% permeable.</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RAD58</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RAD59</w:t>
            </w:r>
          </w:p>
        </w:tc>
        <w:tc>
          <w:tcPr>
            <w:tcW w:w="2883"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Development for a material change of use or building work for a Park</w:t>
            </w:r>
            <w:r w:rsidRPr="00785D29">
              <w:rPr>
                <w:rFonts w:ascii="Arial" w:hAnsi="Arial" w:cs="Arial"/>
                <w:sz w:val="20"/>
                <w:szCs w:val="20"/>
                <w:vertAlign w:val="superscript"/>
              </w:rPr>
              <w:t>(</w:t>
            </w:r>
            <w:hyperlink r:id="rId14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5D29">
                <w:rPr>
                  <w:rStyle w:val="Hyperlink"/>
                  <w:rFonts w:ascii="Arial" w:hAnsi="Arial" w:cs="Arial"/>
                  <w:sz w:val="20"/>
                  <w:szCs w:val="20"/>
                  <w:vertAlign w:val="superscript"/>
                </w:rPr>
                <w:t>57</w:t>
              </w:r>
            </w:hyperlink>
            <w:r w:rsidRPr="00785D29">
              <w:rPr>
                <w:rFonts w:ascii="Arial" w:hAnsi="Arial" w:cs="Arial"/>
                <w:sz w:val="20"/>
                <w:szCs w:val="20"/>
                <w:vertAlign w:val="superscript"/>
              </w:rPr>
              <w:t>)</w:t>
            </w:r>
            <w:r w:rsidRPr="00785D29">
              <w:rPr>
                <w:rFonts w:ascii="Arial" w:hAnsi="Arial" w:cs="Arial"/>
                <w:sz w:val="20"/>
                <w:szCs w:val="20"/>
              </w:rPr>
              <w:t xml:space="preserve"> ensures that work is provided in accordance with the requirements set out in Appendix B of the Planning scheme policy - Integrated design.</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E42F7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Scenic amenity - Regionally significant (Hills) and Locally important (Coast) - (refer Overlay map - Scenic amenity to determine if the following requirements apply)</w:t>
            </w: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RAD60</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buildings and structures are not:</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located on a hill top or ridge line; and</w:t>
            </w:r>
          </w:p>
          <w:p w:rsidR="00E42F79" w:rsidRPr="00785D29" w:rsidRDefault="00E42F79" w:rsidP="00E42F79">
            <w:pPr>
              <w:numPr>
                <w:ilvl w:val="0"/>
                <w:numId w:val="33"/>
              </w:numPr>
              <w:rPr>
                <w:rFonts w:ascii="Arial" w:hAnsi="Arial" w:cs="Arial"/>
                <w:sz w:val="20"/>
                <w:szCs w:val="20"/>
              </w:rPr>
            </w:pPr>
            <w:r w:rsidRPr="00785D29">
              <w:rPr>
                <w:rFonts w:ascii="Arial" w:hAnsi="Arial" w:cs="Arial"/>
                <w:sz w:val="20"/>
                <w:szCs w:val="20"/>
              </w:rPr>
              <w:t>all parts of the building and structure are located below the hill top or ridge line.</w:t>
            </w:r>
          </w:p>
          <w:p w:rsidR="00E42F79" w:rsidRPr="00785D29" w:rsidRDefault="00E42F79" w:rsidP="00E42F79">
            <w:pPr>
              <w:rPr>
                <w:rFonts w:ascii="Arial" w:hAnsi="Arial" w:cs="Arial"/>
                <w:sz w:val="20"/>
                <w:szCs w:val="20"/>
              </w:rPr>
            </w:pPr>
            <w:r w:rsidRPr="00785D29">
              <w:rPr>
                <w:rFonts w:ascii="Arial" w:hAnsi="Arial" w:cs="Arial"/>
                <w:sz w:val="20"/>
                <w:szCs w:val="20"/>
              </w:rPr>
              <w:t> </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lastRenderedPageBreak/>
              <w:drawing>
                <wp:inline distT="0" distB="0" distL="0" distR="0" wp14:anchorId="4AB538C6" wp14:editId="254FD12F">
                  <wp:extent cx="2755075" cy="2538140"/>
                  <wp:effectExtent l="0" t="0" r="7620" b="0"/>
                  <wp:docPr id="68" name="ID-2693391-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1" descr="Sitting on a slope"/>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966" cy="2545410"/>
                          </a:xfrm>
                          <a:prstGeom prst="rect">
                            <a:avLst/>
                          </a:prstGeom>
                          <a:noFill/>
                          <a:ln>
                            <a:noFill/>
                          </a:ln>
                        </pic:spPr>
                      </pic:pic>
                    </a:graphicData>
                  </a:graphic>
                </wp:inline>
              </w:drawing>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RAD61</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driveways and accessways: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go across land contours and do not cut straight up slopes;</w:t>
            </w:r>
          </w:p>
          <w:p w:rsidR="00E42F79" w:rsidRPr="00785D29" w:rsidRDefault="00E42F79" w:rsidP="00E42F79">
            <w:pPr>
              <w:numPr>
                <w:ilvl w:val="0"/>
                <w:numId w:val="34"/>
              </w:numPr>
              <w:rPr>
                <w:rFonts w:ascii="Arial" w:hAnsi="Arial" w:cs="Arial"/>
                <w:sz w:val="20"/>
                <w:szCs w:val="20"/>
              </w:rPr>
            </w:pPr>
            <w:r w:rsidRPr="00785D29">
              <w:rPr>
                <w:rFonts w:ascii="Arial" w:hAnsi="Arial" w:cs="Arial"/>
                <w:sz w:val="20"/>
                <w:szCs w:val="20"/>
              </w:rPr>
              <w:t>follow natural contours, not resulting in batters or retaining walls being greater than 1m in height.</w:t>
            </w:r>
          </w:p>
          <w:p w:rsidR="00E42F79" w:rsidRPr="00785D29" w:rsidRDefault="00E42F79" w:rsidP="00B157AC">
            <w:pPr>
              <w:jc w:val="center"/>
              <w:rPr>
                <w:rFonts w:ascii="Arial" w:hAnsi="Arial" w:cs="Arial"/>
                <w:sz w:val="20"/>
                <w:szCs w:val="20"/>
              </w:rPr>
            </w:pPr>
            <w:r w:rsidRPr="00785D29">
              <w:rPr>
                <w:rFonts w:ascii="Arial" w:hAnsi="Arial" w:cs="Arial"/>
                <w:noProof/>
                <w:sz w:val="20"/>
                <w:szCs w:val="20"/>
              </w:rPr>
              <w:drawing>
                <wp:inline distT="0" distB="0" distL="0" distR="0" wp14:anchorId="0218B5F8" wp14:editId="09099FEC">
                  <wp:extent cx="2286000" cy="1935238"/>
                  <wp:effectExtent l="0" t="0" r="0" b="8255"/>
                  <wp:docPr id="69" name="ID-2693391-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1-2883" descr="Garages and driveways pic"/>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92967" cy="1941136"/>
                          </a:xfrm>
                          <a:prstGeom prst="rect">
                            <a:avLst/>
                          </a:prstGeom>
                          <a:noFill/>
                          <a:ln>
                            <a:noFill/>
                          </a:ln>
                        </pic:spPr>
                      </pic:pic>
                    </a:graphicData>
                  </a:graphic>
                </wp:inline>
              </w:drawing>
            </w:r>
          </w:p>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lastRenderedPageBreak/>
              <w:t>RAD62</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roofs and wall surfaces of buildings and structures adopt the following colours:</w:t>
            </w:r>
          </w:p>
          <w:tbl>
            <w:tblPr>
              <w:tblW w:w="847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03"/>
              <w:gridCol w:w="58"/>
              <w:gridCol w:w="2330"/>
              <w:gridCol w:w="3480"/>
            </w:tblGrid>
            <w:tr w:rsidR="00E42F79" w:rsidRPr="00785D29" w:rsidTr="00E42F79">
              <w:trPr>
                <w:tblCellSpacing w:w="15" w:type="dxa"/>
              </w:trPr>
              <w:tc>
                <w:tcPr>
                  <w:tcW w:w="4965" w:type="pct"/>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E42F79" w:rsidRPr="00785D29" w:rsidRDefault="00E42F79" w:rsidP="00E42F79">
                  <w:pPr>
                    <w:rPr>
                      <w:rFonts w:ascii="Arial" w:hAnsi="Arial" w:cs="Arial"/>
                      <w:b/>
                      <w:bCs/>
                      <w:sz w:val="20"/>
                      <w:szCs w:val="20"/>
                    </w:rPr>
                  </w:pPr>
                  <w:r w:rsidRPr="00785D29">
                    <w:rPr>
                      <w:rFonts w:ascii="Arial" w:hAnsi="Arial" w:cs="Arial"/>
                      <w:b/>
                      <w:bCs/>
                      <w:sz w:val="20"/>
                      <w:szCs w:val="20"/>
                    </w:rPr>
                    <w:t>Colours from Australian Standard AS2700s – 1996</w:t>
                  </w:r>
                </w:p>
              </w:tc>
            </w:tr>
            <w:tr w:rsidR="00E42F79" w:rsidRPr="00785D29" w:rsidTr="00E42F79">
              <w:trPr>
                <w:tblCellSpacing w:w="15" w:type="dxa"/>
              </w:trPr>
              <w:tc>
                <w:tcPr>
                  <w:tcW w:w="1526"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G12 – Holly</w:t>
                  </w:r>
                </w:p>
              </w:tc>
              <w:tc>
                <w:tcPr>
                  <w:tcW w:w="1389" w:type="pct"/>
                  <w:gridSpan w:val="2"/>
                  <w:tcBorders>
                    <w:top w:val="outset" w:sz="6" w:space="0" w:color="auto"/>
                    <w:left w:val="outset" w:sz="6" w:space="0" w:color="auto"/>
                    <w:bottom w:val="outset" w:sz="6" w:space="0" w:color="auto"/>
                    <w:right w:val="outset" w:sz="6" w:space="0" w:color="auto"/>
                  </w:tcBorders>
                  <w:vAlign w:val="center"/>
                </w:tcPr>
                <w:p w:rsidR="00E42F79" w:rsidRPr="00785D29" w:rsidRDefault="00E42F79" w:rsidP="00E42F79">
                  <w:pPr>
                    <w:ind w:left="-187" w:firstLine="187"/>
                    <w:rPr>
                      <w:rFonts w:ascii="Arial" w:hAnsi="Arial" w:cs="Arial"/>
                      <w:sz w:val="20"/>
                      <w:szCs w:val="20"/>
                    </w:rPr>
                  </w:pPr>
                  <w:r w:rsidRPr="00785D29">
                    <w:rPr>
                      <w:rFonts w:ascii="Arial" w:hAnsi="Arial" w:cs="Arial"/>
                      <w:sz w:val="20"/>
                      <w:szCs w:val="20"/>
                    </w:rPr>
                    <w:t>G53 – Banksia</w:t>
                  </w:r>
                </w:p>
              </w:tc>
              <w:tc>
                <w:tcPr>
                  <w:tcW w:w="2014"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N44 – Bridge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G13 – Emerald</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G54 – Mist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N45 – Koala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G14 – Moss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G55 – Lichen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N52 – Mid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G15 – Rainforest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G56 – Sage Green</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N54 – Basalt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G16 – Traffic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G62 – Rivergum</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N55 – Lead Grey</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G17 – Mint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G64 – Slate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X54 – Brown</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G21 – Jade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G65 – Ti Tree</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X61 – Wombat</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G22 – Serpentine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N25 – Birch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X62 – Dark Earth</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G23 – Shamrock</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N32 – Green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X63 – Iron Bark</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G24 – Fern Green</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N33 – Lightbox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Y51 – Bronze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G25 – Olive</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N35 – Light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Y61 – Black Olive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G34 – Avocado</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N41 – Oyster </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Y63 – Khaki</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G52 – Eucalyptus</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N42 – Storm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Y66 – Mudstone</w:t>
                  </w:r>
                </w:p>
              </w:tc>
            </w:tr>
            <w:tr w:rsidR="00E42F79" w:rsidRPr="00785D29" w:rsidTr="00E42F79">
              <w:trPr>
                <w:tblCellSpacing w:w="15" w:type="dxa"/>
              </w:trPr>
              <w:tc>
                <w:tcPr>
                  <w:tcW w:w="1543" w:type="pct"/>
                  <w:gridSpan w:val="2"/>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c>
                <w:tcPr>
                  <w:tcW w:w="1372" w:type="pct"/>
                  <w:tcBorders>
                    <w:top w:val="outset" w:sz="6" w:space="0" w:color="auto"/>
                    <w:left w:val="outset" w:sz="6" w:space="0" w:color="auto"/>
                    <w:bottom w:val="outset" w:sz="6" w:space="0" w:color="auto"/>
                    <w:right w:val="outset" w:sz="6" w:space="0" w:color="auto"/>
                  </w:tcBorders>
                  <w:vAlign w:val="bottom"/>
                  <w:hideMark/>
                </w:tcPr>
                <w:p w:rsidR="00E42F79" w:rsidRPr="00785D29" w:rsidRDefault="00E42F79" w:rsidP="00E42F79">
                  <w:pPr>
                    <w:rPr>
                      <w:rFonts w:ascii="Arial" w:hAnsi="Arial" w:cs="Arial"/>
                      <w:sz w:val="20"/>
                      <w:szCs w:val="20"/>
                    </w:rPr>
                  </w:pPr>
                  <w:r w:rsidRPr="00785D29">
                    <w:rPr>
                      <w:rFonts w:ascii="Arial" w:hAnsi="Arial" w:cs="Arial"/>
                      <w:sz w:val="20"/>
                      <w:szCs w:val="20"/>
                    </w:rPr>
                    <w:t>N43 – Pipeline Grey</w:t>
                  </w:r>
                </w:p>
              </w:tc>
              <w:tc>
                <w:tcPr>
                  <w:tcW w:w="2014" w:type="pct"/>
                  <w:tcBorders>
                    <w:top w:val="outset" w:sz="6" w:space="0" w:color="auto"/>
                    <w:left w:val="outset" w:sz="6" w:space="0" w:color="auto"/>
                    <w:bottom w:val="outset" w:sz="6" w:space="0" w:color="auto"/>
                    <w:right w:val="outset" w:sz="6" w:space="0" w:color="auto"/>
                  </w:tcBorders>
                  <w:vAlign w:val="center"/>
                  <w:hideMark/>
                </w:tcPr>
                <w:p w:rsidR="00E42F79" w:rsidRPr="00785D29" w:rsidRDefault="00E42F79" w:rsidP="00E42F79">
                  <w:pPr>
                    <w:rPr>
                      <w:rFonts w:ascii="Arial" w:hAnsi="Arial" w:cs="Arial"/>
                      <w:sz w:val="20"/>
                      <w:szCs w:val="20"/>
                    </w:rPr>
                  </w:pPr>
                  <w:r w:rsidRPr="00785D29">
                    <w:rPr>
                      <w:rFonts w:ascii="Arial" w:hAnsi="Arial" w:cs="Arial"/>
                      <w:sz w:val="20"/>
                      <w:szCs w:val="20"/>
                    </w:rPr>
                    <w:t> </w:t>
                  </w:r>
                </w:p>
              </w:tc>
            </w:tr>
          </w:tbl>
          <w:p w:rsidR="00E42F79" w:rsidRPr="00785D29" w:rsidRDefault="00E42F79" w:rsidP="00E42F79">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r w:rsidR="00E42F79" w:rsidRPr="00785D29" w:rsidTr="005579E2">
        <w:trPr>
          <w:tblCellSpacing w:w="15" w:type="dxa"/>
        </w:trPr>
        <w:tc>
          <w:tcPr>
            <w:tcW w:w="252"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b/>
                <w:bCs/>
                <w:sz w:val="20"/>
                <w:szCs w:val="20"/>
              </w:rPr>
              <w:t>RAD63</w:t>
            </w:r>
          </w:p>
        </w:tc>
        <w:tc>
          <w:tcPr>
            <w:tcW w:w="2883" w:type="pct"/>
            <w:tcBorders>
              <w:top w:val="outset" w:sz="6" w:space="0" w:color="auto"/>
              <w:left w:val="outset" w:sz="6" w:space="0" w:color="auto"/>
              <w:bottom w:val="outset" w:sz="6" w:space="0" w:color="auto"/>
              <w:right w:val="outset" w:sz="6" w:space="0" w:color="auto"/>
            </w:tcBorders>
            <w:hideMark/>
          </w:tcPr>
          <w:p w:rsidR="00E42F79" w:rsidRPr="00785D29" w:rsidRDefault="00E42F79" w:rsidP="00E42F79">
            <w:pPr>
              <w:rPr>
                <w:rFonts w:ascii="Arial" w:hAnsi="Arial" w:cs="Arial"/>
                <w:sz w:val="20"/>
                <w:szCs w:val="20"/>
              </w:rPr>
            </w:pPr>
            <w:r w:rsidRPr="00785D29">
              <w:rPr>
                <w:rFonts w:ascii="Arial" w:hAnsi="Arial" w:cs="Arial"/>
                <w:sz w:val="20"/>
                <w:szCs w:val="20"/>
              </w:rPr>
              <w:t>Where located in the  Regionally significant (Hills) scenic amenity overlay, roofs and wall surfaces of buildings and structures are painted or finished such that reflectivity is less than 35%.</w:t>
            </w:r>
          </w:p>
        </w:tc>
        <w:tc>
          <w:tcPr>
            <w:tcW w:w="597"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c>
          <w:tcPr>
            <w:tcW w:w="1219" w:type="pct"/>
            <w:tcBorders>
              <w:top w:val="outset" w:sz="6" w:space="0" w:color="auto"/>
              <w:left w:val="outset" w:sz="6" w:space="0" w:color="auto"/>
              <w:bottom w:val="outset" w:sz="6" w:space="0" w:color="auto"/>
              <w:right w:val="outset" w:sz="6" w:space="0" w:color="auto"/>
            </w:tcBorders>
          </w:tcPr>
          <w:p w:rsidR="00E42F79" w:rsidRPr="00785D29" w:rsidRDefault="00E42F79" w:rsidP="00E42F79">
            <w:pPr>
              <w:rPr>
                <w:rFonts w:ascii="Arial" w:hAnsi="Arial" w:cs="Arial"/>
                <w:sz w:val="20"/>
                <w:szCs w:val="20"/>
              </w:rPr>
            </w:pPr>
          </w:p>
        </w:tc>
      </w:tr>
    </w:tbl>
    <w:p w:rsidR="001A0974" w:rsidRPr="00785D29" w:rsidRDefault="001A0974">
      <w:pPr>
        <w:rPr>
          <w:rFonts w:ascii="Arial" w:hAnsi="Arial" w:cs="Arial"/>
          <w:sz w:val="20"/>
          <w:szCs w:val="20"/>
        </w:rPr>
      </w:pPr>
      <w:bookmarkStart w:id="0" w:name="_GoBack"/>
      <w:bookmarkEnd w:id="0"/>
    </w:p>
    <w:sectPr w:rsidR="001A0974" w:rsidRPr="00785D29" w:rsidSect="00E42F79">
      <w:footerReference w:type="default" r:id="rId1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87B" w:rsidRDefault="0020087B" w:rsidP="00087C86">
      <w:pPr>
        <w:spacing w:after="0" w:line="240" w:lineRule="auto"/>
      </w:pPr>
      <w:r>
        <w:separator/>
      </w:r>
    </w:p>
  </w:endnote>
  <w:endnote w:type="continuationSeparator" w:id="0">
    <w:p w:rsidR="0020087B" w:rsidRDefault="0020087B" w:rsidP="0008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C86" w:rsidRDefault="00087C86" w:rsidP="00087C86">
    <w:pPr>
      <w:pStyle w:val="Footer"/>
      <w:jc w:val="right"/>
    </w:pPr>
    <w:r w:rsidRPr="002C7A6D">
      <w:rPr>
        <w:rFonts w:ascii="Arial" w:hAnsi="Arial" w:cs="Arial"/>
        <w:i/>
        <w:sz w:val="20"/>
        <w:szCs w:val="20"/>
      </w:rPr>
      <w:t xml:space="preserve">MBRC Planning Scheme </w:t>
    </w:r>
    <w:r>
      <w:rPr>
        <w:rFonts w:ascii="Arial" w:hAnsi="Arial" w:cs="Arial"/>
        <w:i/>
        <w:sz w:val="20"/>
        <w:szCs w:val="20"/>
      </w:rPr>
      <w:t xml:space="preserve">Version </w:t>
    </w:r>
    <w:r w:rsidR="00E21AE8">
      <w:rPr>
        <w:rFonts w:ascii="Arial" w:hAnsi="Arial" w:cs="Arial"/>
        <w:i/>
        <w:sz w:val="20"/>
        <w:szCs w:val="20"/>
      </w:rPr>
      <w:t>6</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Woodfordia local plan</w:t>
    </w:r>
    <w:r w:rsidRPr="002C7A6D">
      <w:rPr>
        <w:rFonts w:ascii="Arial" w:hAnsi="Arial" w:cs="Arial"/>
        <w:i/>
        <w:sz w:val="20"/>
        <w:szCs w:val="20"/>
      </w:rPr>
      <w:t xml:space="preserve"> - </w:t>
    </w:r>
    <w:r w:rsidRPr="00E50042">
      <w:rPr>
        <w:rFonts w:ascii="Arial" w:hAnsi="Arial" w:cs="Arial"/>
        <w:i/>
        <w:sz w:val="20"/>
        <w:szCs w:val="20"/>
      </w:rPr>
      <w:t>Requi</w:t>
    </w:r>
    <w:r>
      <w:rPr>
        <w:rFonts w:ascii="Arial" w:hAnsi="Arial" w:cs="Arial"/>
        <w:i/>
        <w:sz w:val="20"/>
        <w:szCs w:val="20"/>
      </w:rPr>
      <w:t xml:space="preserve">rements for accepted development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87B" w:rsidRDefault="0020087B" w:rsidP="00087C86">
      <w:pPr>
        <w:spacing w:after="0" w:line="240" w:lineRule="auto"/>
      </w:pPr>
      <w:r>
        <w:separator/>
      </w:r>
    </w:p>
  </w:footnote>
  <w:footnote w:type="continuationSeparator" w:id="0">
    <w:p w:rsidR="0020087B" w:rsidRDefault="0020087B" w:rsidP="0008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F54"/>
    <w:multiLevelType w:val="multilevel"/>
    <w:tmpl w:val="63449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916D3A"/>
    <w:multiLevelType w:val="multilevel"/>
    <w:tmpl w:val="30209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3B7429"/>
    <w:multiLevelType w:val="multilevel"/>
    <w:tmpl w:val="176E2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904B0D"/>
    <w:multiLevelType w:val="multilevel"/>
    <w:tmpl w:val="FB0200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83A87"/>
    <w:multiLevelType w:val="multilevel"/>
    <w:tmpl w:val="24148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2A6EDF"/>
    <w:multiLevelType w:val="multilevel"/>
    <w:tmpl w:val="81AAE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972CEA"/>
    <w:multiLevelType w:val="multilevel"/>
    <w:tmpl w:val="A8D20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A63979"/>
    <w:multiLevelType w:val="multilevel"/>
    <w:tmpl w:val="379A7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C76B5B"/>
    <w:multiLevelType w:val="multilevel"/>
    <w:tmpl w:val="7F905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5F84404"/>
    <w:multiLevelType w:val="multilevel"/>
    <w:tmpl w:val="33B88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C82D5D"/>
    <w:multiLevelType w:val="multilevel"/>
    <w:tmpl w:val="10CA79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D20C4E"/>
    <w:multiLevelType w:val="multilevel"/>
    <w:tmpl w:val="9160B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EC049FB"/>
    <w:multiLevelType w:val="multilevel"/>
    <w:tmpl w:val="AE103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4A42741"/>
    <w:multiLevelType w:val="multilevel"/>
    <w:tmpl w:val="3DBCA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DC666D"/>
    <w:multiLevelType w:val="multilevel"/>
    <w:tmpl w:val="3F9A4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6AD5384"/>
    <w:multiLevelType w:val="multilevel"/>
    <w:tmpl w:val="888031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CD1289"/>
    <w:multiLevelType w:val="multilevel"/>
    <w:tmpl w:val="7C30A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F636D9"/>
    <w:multiLevelType w:val="multilevel"/>
    <w:tmpl w:val="BC022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234BF4"/>
    <w:multiLevelType w:val="multilevel"/>
    <w:tmpl w:val="3F063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127923"/>
    <w:multiLevelType w:val="multilevel"/>
    <w:tmpl w:val="175468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972680"/>
    <w:multiLevelType w:val="multilevel"/>
    <w:tmpl w:val="4FAC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A22DEB"/>
    <w:multiLevelType w:val="multilevel"/>
    <w:tmpl w:val="A14EA9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EC525D"/>
    <w:multiLevelType w:val="multilevel"/>
    <w:tmpl w:val="17F8D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9649B3"/>
    <w:multiLevelType w:val="multilevel"/>
    <w:tmpl w:val="46C68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AB394B"/>
    <w:multiLevelType w:val="multilevel"/>
    <w:tmpl w:val="5986E3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BC6060"/>
    <w:multiLevelType w:val="multilevel"/>
    <w:tmpl w:val="3196C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5F07B58"/>
    <w:multiLevelType w:val="multilevel"/>
    <w:tmpl w:val="74D8F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A550A8B"/>
    <w:multiLevelType w:val="multilevel"/>
    <w:tmpl w:val="3C1C8D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1D6447"/>
    <w:multiLevelType w:val="multilevel"/>
    <w:tmpl w:val="851C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CF3958"/>
    <w:multiLevelType w:val="multilevel"/>
    <w:tmpl w:val="5FFCAA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4C5EB9"/>
    <w:multiLevelType w:val="multilevel"/>
    <w:tmpl w:val="495CD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9B3242B"/>
    <w:multiLevelType w:val="multilevel"/>
    <w:tmpl w:val="8E2A5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447A63"/>
    <w:multiLevelType w:val="multilevel"/>
    <w:tmpl w:val="EB98A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C356E7"/>
    <w:multiLevelType w:val="multilevel"/>
    <w:tmpl w:val="490E3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7"/>
  </w:num>
  <w:num w:numId="3">
    <w:abstractNumId w:val="24"/>
  </w:num>
  <w:num w:numId="4">
    <w:abstractNumId w:val="8"/>
  </w:num>
  <w:num w:numId="5">
    <w:abstractNumId w:val="31"/>
  </w:num>
  <w:num w:numId="6">
    <w:abstractNumId w:val="27"/>
  </w:num>
  <w:num w:numId="7">
    <w:abstractNumId w:val="12"/>
  </w:num>
  <w:num w:numId="8">
    <w:abstractNumId w:val="25"/>
  </w:num>
  <w:num w:numId="9">
    <w:abstractNumId w:val="4"/>
  </w:num>
  <w:num w:numId="10">
    <w:abstractNumId w:val="13"/>
  </w:num>
  <w:num w:numId="11">
    <w:abstractNumId w:val="20"/>
  </w:num>
  <w:num w:numId="12">
    <w:abstractNumId w:val="19"/>
  </w:num>
  <w:num w:numId="13">
    <w:abstractNumId w:val="3"/>
  </w:num>
  <w:num w:numId="14">
    <w:abstractNumId w:val="2"/>
  </w:num>
  <w:num w:numId="15">
    <w:abstractNumId w:val="17"/>
  </w:num>
  <w:num w:numId="16">
    <w:abstractNumId w:val="10"/>
  </w:num>
  <w:num w:numId="17">
    <w:abstractNumId w:val="30"/>
  </w:num>
  <w:num w:numId="18">
    <w:abstractNumId w:val="16"/>
  </w:num>
  <w:num w:numId="19">
    <w:abstractNumId w:val="32"/>
  </w:num>
  <w:num w:numId="20">
    <w:abstractNumId w:val="23"/>
  </w:num>
  <w:num w:numId="21">
    <w:abstractNumId w:val="6"/>
  </w:num>
  <w:num w:numId="22">
    <w:abstractNumId w:val="22"/>
  </w:num>
  <w:num w:numId="23">
    <w:abstractNumId w:val="26"/>
  </w:num>
  <w:num w:numId="24">
    <w:abstractNumId w:val="15"/>
  </w:num>
  <w:num w:numId="25">
    <w:abstractNumId w:val="11"/>
  </w:num>
  <w:num w:numId="26">
    <w:abstractNumId w:val="0"/>
  </w:num>
  <w:num w:numId="27">
    <w:abstractNumId w:val="9"/>
  </w:num>
  <w:num w:numId="28">
    <w:abstractNumId w:val="21"/>
  </w:num>
  <w:num w:numId="29">
    <w:abstractNumId w:val="14"/>
  </w:num>
  <w:num w:numId="30">
    <w:abstractNumId w:val="29"/>
  </w:num>
  <w:num w:numId="31">
    <w:abstractNumId w:val="5"/>
  </w:num>
  <w:num w:numId="32">
    <w:abstractNumId w:val="33"/>
  </w:num>
  <w:num w:numId="33">
    <w:abstractNumId w:val="18"/>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79"/>
    <w:rsid w:val="00087C86"/>
    <w:rsid w:val="001A00C2"/>
    <w:rsid w:val="001A0974"/>
    <w:rsid w:val="0020087B"/>
    <w:rsid w:val="0042101D"/>
    <w:rsid w:val="005579E2"/>
    <w:rsid w:val="00781F12"/>
    <w:rsid w:val="00785D29"/>
    <w:rsid w:val="00B157AC"/>
    <w:rsid w:val="00E21AE8"/>
    <w:rsid w:val="00E42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FB3"/>
  <w15:chartTrackingRefBased/>
  <w15:docId w15:val="{37266021-BEEE-4A9A-AD60-38F5848E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2F7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2F79"/>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2F79"/>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2F7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2F79"/>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2F79"/>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F79"/>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2F79"/>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2F79"/>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2F79"/>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2F79"/>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2F79"/>
    <w:rPr>
      <w:rFonts w:ascii="Times New Roman" w:eastAsiaTheme="minorEastAsia" w:hAnsi="Times New Roman" w:cs="Times New Roman"/>
      <w:b/>
      <w:bCs/>
      <w:sz w:val="15"/>
      <w:szCs w:val="15"/>
      <w:lang w:eastAsia="en-AU"/>
    </w:rPr>
  </w:style>
  <w:style w:type="paragraph" w:customStyle="1" w:styleId="msonormal0">
    <w:name w:val="msonormal"/>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2F79"/>
    <w:rPr>
      <w:color w:val="0000FF"/>
      <w:u w:val="single"/>
    </w:rPr>
  </w:style>
  <w:style w:type="character" w:styleId="FollowedHyperlink">
    <w:name w:val="FollowedHyperlink"/>
    <w:basedOn w:val="DefaultParagraphFont"/>
    <w:uiPriority w:val="99"/>
    <w:semiHidden/>
    <w:unhideWhenUsed/>
    <w:rsid w:val="00E42F79"/>
    <w:rPr>
      <w:color w:val="800080"/>
      <w:u w:val="single"/>
    </w:rPr>
  </w:style>
  <w:style w:type="paragraph" w:customStyle="1" w:styleId="hidden">
    <w:name w:val="hidden"/>
    <w:basedOn w:val="Normal"/>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2F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2F79"/>
    <w:rPr>
      <w:b/>
      <w:bCs/>
    </w:rPr>
  </w:style>
  <w:style w:type="character" w:customStyle="1" w:styleId="number">
    <w:name w:val="number"/>
    <w:basedOn w:val="DefaultParagraphFont"/>
    <w:rsid w:val="00E42F79"/>
  </w:style>
  <w:style w:type="character" w:customStyle="1" w:styleId="newwindow">
    <w:name w:val="newwindow"/>
    <w:basedOn w:val="DefaultParagraphFont"/>
    <w:rsid w:val="00E42F79"/>
  </w:style>
  <w:style w:type="character" w:styleId="Emphasis">
    <w:name w:val="Emphasis"/>
    <w:basedOn w:val="DefaultParagraphFont"/>
    <w:uiPriority w:val="20"/>
    <w:qFormat/>
    <w:rsid w:val="00E42F79"/>
    <w:rPr>
      <w:i/>
      <w:iCs/>
    </w:rPr>
  </w:style>
  <w:style w:type="character" w:customStyle="1" w:styleId="highlighttext">
    <w:name w:val="highlighttext"/>
    <w:basedOn w:val="DefaultParagraphFont"/>
    <w:rsid w:val="00E42F79"/>
  </w:style>
  <w:style w:type="character" w:customStyle="1" w:styleId="highlightbackground">
    <w:name w:val="highlightbackground"/>
    <w:basedOn w:val="DefaultParagraphFont"/>
    <w:rsid w:val="00E42F79"/>
  </w:style>
  <w:style w:type="paragraph" w:styleId="BalloonText">
    <w:name w:val="Balloon Text"/>
    <w:basedOn w:val="Normal"/>
    <w:link w:val="BalloonTextChar"/>
    <w:uiPriority w:val="99"/>
    <w:semiHidden/>
    <w:unhideWhenUsed/>
    <w:rsid w:val="00E42F79"/>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2F79"/>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2F79"/>
    <w:rPr>
      <w:color w:val="605E5C"/>
      <w:shd w:val="clear" w:color="auto" w:fill="E1DFDD"/>
    </w:rPr>
  </w:style>
  <w:style w:type="paragraph" w:styleId="ListParagraph">
    <w:name w:val="List Paragraph"/>
    <w:basedOn w:val="Normal"/>
    <w:uiPriority w:val="34"/>
    <w:qFormat/>
    <w:rsid w:val="00E42F79"/>
    <w:pPr>
      <w:ind w:left="720"/>
      <w:contextualSpacing/>
    </w:pPr>
  </w:style>
  <w:style w:type="paragraph" w:styleId="NoSpacing">
    <w:name w:val="No Spacing"/>
    <w:uiPriority w:val="1"/>
    <w:qFormat/>
    <w:rsid w:val="00E42F79"/>
    <w:pPr>
      <w:spacing w:after="0" w:line="240" w:lineRule="auto"/>
    </w:pPr>
  </w:style>
  <w:style w:type="paragraph" w:styleId="Header">
    <w:name w:val="header"/>
    <w:basedOn w:val="Normal"/>
    <w:link w:val="HeaderChar"/>
    <w:uiPriority w:val="99"/>
    <w:unhideWhenUsed/>
    <w:rsid w:val="00087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C86"/>
  </w:style>
  <w:style w:type="paragraph" w:styleId="Footer">
    <w:name w:val="footer"/>
    <w:basedOn w:val="Normal"/>
    <w:link w:val="FooterChar"/>
    <w:uiPriority w:val="99"/>
    <w:unhideWhenUsed/>
    <w:rsid w:val="00087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33" Type="http://schemas.openxmlformats.org/officeDocument/2006/relationships/hyperlink" Target="file:///C:\Users\seang\OneDrive%20-%20Objective%20Corp\Desktop\HTML-Export\section_s1332743627723.html" TargetMode="External"/><Relationship Id="rId138" Type="http://schemas.openxmlformats.org/officeDocument/2006/relationships/hyperlink" Target="file:///C:\Users\seang\OneDrive%20-%20Objective%20Corp\Desktop\HTML-Export\section_s1332743627723.html" TargetMode="External"/><Relationship Id="rId16" Type="http://schemas.openxmlformats.org/officeDocument/2006/relationships/hyperlink" Target="file:///C:\Users\seang\OneDrive%20-%20Objective%20Corp\Desktop\HTML-Export\section_s1332743627723.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123" Type="http://schemas.openxmlformats.org/officeDocument/2006/relationships/hyperlink" Target="file:///C:\Users\seang\OneDrive%20-%20Objective%20Corp\Desktop\HTML-Export\section_s1332743627723.html" TargetMode="External"/><Relationship Id="rId128" Type="http://schemas.openxmlformats.org/officeDocument/2006/relationships/hyperlink" Target="file:///C:\Users\seang\OneDrive%20-%20Objective%20Corp\Desktop\HTML-Export\section_s1332743627723.html" TargetMode="External"/><Relationship Id="rId144" Type="http://schemas.openxmlformats.org/officeDocument/2006/relationships/hyperlink" Target="file:///C:\Users\seang\OneDrive%20-%20Objective%20Corp\Desktop\HTML-Export\section_s1332743627723.html" TargetMode="External"/><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113" Type="http://schemas.openxmlformats.org/officeDocument/2006/relationships/hyperlink" Target="file:///C:\Users\seang\OneDrive%20-%20Objective%20Corp\Desktop\HTML-Export\section_s1332743627723.html" TargetMode="External"/><Relationship Id="rId118" Type="http://schemas.openxmlformats.org/officeDocument/2006/relationships/hyperlink" Target="file:///C:\Users\seang\OneDrive%20-%20Objective%20Corp\Desktop\HTML-Export\section_s1332743627723.html" TargetMode="External"/><Relationship Id="rId134" Type="http://schemas.openxmlformats.org/officeDocument/2006/relationships/hyperlink" Target="file:///C:\Users\seang\OneDrive%20-%20Objective%20Corp\Desktop\HTML-Export\section_s1332743627723.html" TargetMode="External"/><Relationship Id="rId139"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hyperlink" Target="file:///C:\Users\seang\OneDrive%20-%20Objective%20Corp\Desktop\HTML-Export\section_s1332743627723.html" TargetMode="External"/><Relationship Id="rId124" Type="http://schemas.openxmlformats.org/officeDocument/2006/relationships/hyperlink" Target="file:///C:\Users\seang\OneDrive%20-%20Objective%20Corp\Desktop\HTML-Export\section_s1332743627723.html" TargetMode="External"/><Relationship Id="rId129" Type="http://schemas.openxmlformats.org/officeDocument/2006/relationships/hyperlink" Target="file:///C:\Users\seang\OneDrive%20-%20Objective%20Corp\Desktop\HTML-Export\section_s1332743627723.html" TargetMode="External"/><Relationship Id="rId137"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32" Type="http://schemas.openxmlformats.org/officeDocument/2006/relationships/hyperlink" Target="file:///C:\Users\seang\OneDrive%20-%20Objective%20Corp\Desktop\HTML-Export\section_s1332743627723.html" TargetMode="External"/><Relationship Id="rId140" Type="http://schemas.openxmlformats.org/officeDocument/2006/relationships/hyperlink" Target="file:///C:\Users\seang\OneDrive%20-%20Objective%20Corp\Desktop\HTML-Export\section_s1332743627723.html" TargetMode="External"/><Relationship Id="rId145"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hyperlink" Target="file:///C:\Users\seang\OneDrive%20-%20Objective%20Corp\Desktop\HTML-Export\section_s1332743627723.html" TargetMode="External"/><Relationship Id="rId119" Type="http://schemas.openxmlformats.org/officeDocument/2006/relationships/hyperlink" Target="file:///C:\Users\seang\OneDrive%20-%20Objective%20Corp\Desktop\HTML-Export\section_s1332743627723.html" TargetMode="External"/><Relationship Id="rId127"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122" Type="http://schemas.openxmlformats.org/officeDocument/2006/relationships/hyperlink" Target="file:///C:\Users\seang\OneDrive%20-%20Objective%20Corp\Desktop\HTML-Export\section_s1332743627723.html" TargetMode="External"/><Relationship Id="rId130" Type="http://schemas.openxmlformats.org/officeDocument/2006/relationships/hyperlink" Target="file:///C:\Users\seang\OneDrive%20-%20Objective%20Corp\Desktop\HTML-Export\section_s1332743627723.html" TargetMode="External"/><Relationship Id="rId135" Type="http://schemas.openxmlformats.org/officeDocument/2006/relationships/hyperlink" Target="file:///C:\Users\seang\OneDrive%20-%20Objective%20Corp\Desktop\HTML-Export\section_s1332743627723.html" TargetMode="External"/><Relationship Id="rId143" Type="http://schemas.openxmlformats.org/officeDocument/2006/relationships/hyperlink" Target="file:///C:\Users\seang\OneDrive%20-%20Objective%20Corp\Desktop\HTML-Export\section_s1332743627723.html"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hyperlink" Target="file:///C:\Users\seang\OneDrive%20-%20Objective%20Corp\Desktop\HTML-Export\section_s1332743627723.html" TargetMode="External"/><Relationship Id="rId125" Type="http://schemas.openxmlformats.org/officeDocument/2006/relationships/hyperlink" Target="file:///C:\Users\seang\OneDrive%20-%20Objective%20Corp\Desktop\HTML-Export\section_s1332743627723.html" TargetMode="External"/><Relationship Id="rId141" Type="http://schemas.openxmlformats.org/officeDocument/2006/relationships/hyperlink" Target="file:///C:\Users\seang\OneDrive%20-%20Objective%20Corp\Desktop\HTML-Export\section_s1332743627723.html" TargetMode="External"/><Relationship Id="rId146" Type="http://schemas.openxmlformats.org/officeDocument/2006/relationships/image" Target="media/image2.jpeg"/><Relationship Id="rId7" Type="http://schemas.openxmlformats.org/officeDocument/2006/relationships/hyperlink" Target="file:///C:\Users\seang\OneDrive%20-%20Objective%20Corp\Desktop\HTML-Export\section_s1332743627723.html" TargetMode="Externa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hyperlink" Target="file:///C:\Users\seang\OneDrive%20-%20Objective%20Corp\Desktop\HTML-Export\section_s1332743627723.html" TargetMode="External"/><Relationship Id="rId131" Type="http://schemas.openxmlformats.org/officeDocument/2006/relationships/hyperlink" Target="file:///C:\Users\seang\OneDrive%20-%20Objective%20Corp\Desktop\HTML-Export\section_s1332743627723.html" TargetMode="External"/><Relationship Id="rId136" Type="http://schemas.openxmlformats.org/officeDocument/2006/relationships/hyperlink" Target="file:///C:\Users\seang\OneDrive%20-%20Objective%20Corp\Desktop\HTML-Export\section_s1332743627723.html" TargetMode="Externa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26" Type="http://schemas.openxmlformats.org/officeDocument/2006/relationships/hyperlink" Target="file:///C:\Users\seang\OneDrive%20-%20Objective%20Corp\Desktop\HTML-Export\section_s1332743627723.html" TargetMode="External"/><Relationship Id="rId147" Type="http://schemas.openxmlformats.org/officeDocument/2006/relationships/footer" Target="footer1.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hyperlink" Target="file:///C:\Users\seang\OneDrive%20-%20Objective%20Corp\Desktop\HTML-Export\section_s1332743627723.html" TargetMode="External"/><Relationship Id="rId14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12425</Words>
  <Characters>70827</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2019-12-10T04:48:00Z</dcterms:created>
  <dcterms:modified xsi:type="dcterms:W3CDTF">2021-11-11T02:35:00Z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A19455644</vt:lpwstr>
  </property>
  <property fmtid="{D5CDD505-2E9C-101B-9397-08002B2CF9AE}" pid="4" name="Objective-Title">
    <vt:lpwstr>7.2.2.1 Woodfordia Local plan - Requirements for Accepted development - UPDATED</vt:lpwstr>
  </property>
  <property fmtid="{D5CDD505-2E9C-101B-9397-08002B2CF9AE}" pid="5" name="Objective-Comment">
    <vt:lpwstr/>
  </property>
  <property fmtid="{D5CDD505-2E9C-101B-9397-08002B2CF9AE}" pid="6" name="Objective-CreationStamp">
    <vt:filetime>2019-12-10T05:55:19Z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2020-01-09T00:57:35Z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