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255"/>
        <w:gridCol w:w="5136"/>
        <w:gridCol w:w="2291"/>
        <w:gridCol w:w="2716"/>
      </w:tblGrid>
      <w:tr w:rsidR="00392A79" w:rsidRPr="00392A79" w:rsidTr="003E5B10">
        <w:trPr>
          <w:trHeight w:val="376"/>
          <w:tblCellSpacing w:w="15" w:type="dxa"/>
        </w:trPr>
        <w:tc>
          <w:tcPr>
            <w:tcW w:w="4981" w:type="pct"/>
            <w:gridSpan w:val="4"/>
            <w:tcBorders>
              <w:top w:val="nil"/>
              <w:left w:val="nil"/>
              <w:bottom w:val="nil"/>
              <w:right w:val="nil"/>
            </w:tcBorders>
            <w:shd w:val="clear" w:color="auto" w:fill="CCCCCC"/>
            <w:vAlign w:val="center"/>
            <w:hideMark/>
          </w:tcPr>
          <w:p w:rsidR="00392A79" w:rsidRPr="00392A79" w:rsidRDefault="00392A79" w:rsidP="00392A79">
            <w:pPr>
              <w:spacing w:after="0" w:line="240" w:lineRule="auto"/>
              <w:jc w:val="center"/>
              <w:rPr>
                <w:rFonts w:ascii="Arial" w:eastAsia="Times New Roman" w:hAnsi="Arial" w:cs="Arial"/>
                <w:b/>
                <w:bCs/>
                <w:sz w:val="20"/>
                <w:szCs w:val="20"/>
                <w:lang w:eastAsia="en-AU"/>
              </w:rPr>
            </w:pPr>
            <w:r w:rsidRPr="00392A79">
              <w:rPr>
                <w:rFonts w:ascii="Arial" w:eastAsia="Times New Roman" w:hAnsi="Arial" w:cs="Arial"/>
                <w:b/>
                <w:bCs/>
                <w:sz w:val="20"/>
                <w:szCs w:val="20"/>
                <w:lang w:eastAsia="en-AU"/>
              </w:rPr>
              <w:t>Table 7.2.3.2.9.1 Assessable development - Specialised centre sub-precinct</w:t>
            </w:r>
          </w:p>
        </w:tc>
      </w:tr>
      <w:tr w:rsidR="00392A79"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Performance outcomes</w:t>
            </w:r>
          </w:p>
        </w:tc>
        <w:tc>
          <w:tcPr>
            <w:tcW w:w="1658" w:type="pct"/>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Examples that achieve aspects of the Performance Outcome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392A79" w:rsidRPr="00392A79" w:rsidTr="00392A79">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b/>
                <w:bCs/>
                <w:color w:val="000000"/>
                <w:sz w:val="20"/>
                <w:szCs w:val="20"/>
                <w:lang w:eastAsia="en-AU"/>
              </w:rPr>
            </w:pPr>
            <w:r w:rsidRPr="00392A79">
              <w:rPr>
                <w:rFonts w:ascii="Arial" w:eastAsiaTheme="minorEastAsia" w:hAnsi="Arial" w:cs="Arial"/>
                <w:b/>
                <w:bCs/>
                <w:color w:val="000000"/>
                <w:sz w:val="20"/>
                <w:szCs w:val="20"/>
                <w:lang w:eastAsia="en-AU"/>
              </w:rPr>
              <w:t>General criteria</w:t>
            </w: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Centre network and function</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in the Specialised centre sub-precinct:</w:t>
            </w:r>
          </w:p>
          <w:p w:rsidR="00392A79" w:rsidRPr="00392A79" w:rsidRDefault="00392A79" w:rsidP="00502327">
            <w:pPr>
              <w:numPr>
                <w:ilvl w:val="0"/>
                <w:numId w:val="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of a size, scale, range of services and location commensurate with the role and function of this sub-precinct in the centres network;</w:t>
            </w:r>
          </w:p>
          <w:p w:rsidR="00392A79" w:rsidRPr="00392A79" w:rsidRDefault="00392A79" w:rsidP="00502327">
            <w:pPr>
              <w:numPr>
                <w:ilvl w:val="0"/>
                <w:numId w:val="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for bulky retail and commercial activities.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Table 7.2.3.</w:t>
                  </w:r>
                  <w:r w:rsidR="0016443B">
                    <w:rPr>
                      <w:rFonts w:ascii="Arial" w:eastAsiaTheme="minorEastAsia" w:hAnsi="Arial" w:cs="Arial"/>
                      <w:sz w:val="18"/>
                      <w:szCs w:val="20"/>
                      <w:lang w:eastAsia="en-AU"/>
                    </w:rPr>
                    <w:t>4</w:t>
                  </w:r>
                  <w:r w:rsidRPr="0009358B">
                    <w:rPr>
                      <w:rFonts w:ascii="Arial" w:eastAsiaTheme="minorEastAsia" w:hAnsi="Arial" w:cs="Arial"/>
                      <w:sz w:val="18"/>
                      <w:szCs w:val="20"/>
                      <w:lang w:eastAsia="en-AU"/>
                    </w:rPr>
                    <w:t xml:space="preserve"> Caboolture West - centres network.</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Active frontage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229"/>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Buildings and individual tenancies address street frontages and other areas of pedestrian movement.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Setbacks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Side and rear setbacks are of a dimension to:</w:t>
            </w:r>
          </w:p>
          <w:p w:rsidR="00392A79" w:rsidRPr="00392A79" w:rsidRDefault="00392A79" w:rsidP="00502327">
            <w:pPr>
              <w:numPr>
                <w:ilvl w:val="0"/>
                <w:numId w:val="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cater for required openings, the location of loading docks and landscaped buffers etc.; </w:t>
            </w:r>
          </w:p>
          <w:p w:rsidR="00392A79" w:rsidRPr="00392A79" w:rsidRDefault="00392A79" w:rsidP="00502327">
            <w:pPr>
              <w:numPr>
                <w:ilvl w:val="0"/>
                <w:numId w:val="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protect the amenity of adjoining sensitive land uses.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Site area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17"/>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development has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area and dimensions to accommodate required buildings and structures, vehicular access, manoeuvring and parking and landscaping. </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 </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Building height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7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height of buildings </w:t>
            </w:r>
            <w:proofErr w:type="gramStart"/>
            <w:r w:rsidRPr="00392A79">
              <w:rPr>
                <w:rFonts w:ascii="Arial" w:eastAsiaTheme="minorEastAsia" w:hAnsi="Arial" w:cs="Arial"/>
                <w:sz w:val="20"/>
                <w:szCs w:val="20"/>
                <w:lang w:eastAsia="en-AU"/>
              </w:rPr>
              <w:t>reflect</w:t>
            </w:r>
            <w:proofErr w:type="gramEnd"/>
            <w:r w:rsidRPr="00392A79">
              <w:rPr>
                <w:rFonts w:ascii="Arial" w:eastAsiaTheme="minorEastAsia" w:hAnsi="Arial" w:cs="Arial"/>
                <w:sz w:val="20"/>
                <w:szCs w:val="20"/>
                <w:lang w:eastAsia="en-AU"/>
              </w:rPr>
              <w:t xml:space="preserve"> the individual character of the centre.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 heights do not to exceed that mapped on Neighbourhood development plan map - Building heights.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Built form</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Awnings are provided at the ground floor fronting pedestrian footpaths.  Awnings:</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 adequate protection for pedestrians from solar exposure and inclement weather;</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integrated with the design of the building and the form and function of the street;</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 not compromise the provision of street trees and signage;</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ensure the safety of pedestrians and vehicles.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Buildings incorporate an awning that:</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cantilevered;</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extends from the face of the building;</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has a minimum height of 3.2m and not more than 4.2m above pavement level;</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extend past a vertical plane of 1.5m inside the kerb line to allow for street trees;</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aligns with adjoining buildings to provide continuous shelter where possible.</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b/>
                <w:bCs/>
                <w:sz w:val="20"/>
                <w:szCs w:val="20"/>
                <w:lang w:eastAsia="en-AU"/>
              </w:rPr>
              <w:t>Figure - Awning requirements</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noProof/>
                <w:sz w:val="20"/>
                <w:szCs w:val="20"/>
                <w:lang w:eastAsia="en-AU"/>
              </w:rPr>
              <w:lastRenderedPageBreak/>
              <w:drawing>
                <wp:inline distT="0" distB="0" distL="0" distR="0" wp14:anchorId="6923D270" wp14:editId="1E4CEF9A">
                  <wp:extent cx="2876550" cy="2019300"/>
                  <wp:effectExtent l="0" t="0" r="0" b="0"/>
                  <wp:docPr id="150" name="ID-2693407-584297"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7-584297" descr="awning requirem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buildings exhibit a high standard of design and construction, which:</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adds visual interest to the streetscape (e.g. variation in materials, patterns, textures and colours, a consistent building line, blank walls that are visible from public places are treated to not negatively impact the surrounding amenity);</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contributes to a safe environment (e.g. </w:t>
            </w:r>
            <w:proofErr w:type="gramStart"/>
            <w:r w:rsidRPr="00392A79">
              <w:rPr>
                <w:rFonts w:ascii="Arial" w:eastAsiaTheme="minorEastAsia" w:hAnsi="Arial" w:cs="Arial"/>
                <w:sz w:val="20"/>
                <w:szCs w:val="20"/>
                <w:lang w:eastAsia="en-AU"/>
              </w:rPr>
              <w:t>through the use of</w:t>
            </w:r>
            <w:proofErr w:type="gramEnd"/>
            <w:r w:rsidRPr="00392A79">
              <w:rPr>
                <w:rFonts w:ascii="Arial" w:eastAsiaTheme="minorEastAsia" w:hAnsi="Arial" w:cs="Arial"/>
                <w:sz w:val="20"/>
                <w:szCs w:val="20"/>
                <w:lang w:eastAsia="en-AU"/>
              </w:rPr>
              <w:t xml:space="preserve"> lighting and not resulting in concealed recesses or potential entrapment areas);</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incorporates architectural features within the building facade at the street level to create human scale.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 entrances: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readily identifiable from the road frontage;</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add visual interest to the streetscape;</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designed to limit opportunities for concealment;</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are located and oriented to favour active and public transport usage by connecting to pedestrian footpaths on the street frontage and adjoining sites;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Include footpaths that connect with adjoining sites;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design provisions for footpaths outlined in Planning scheme policy - Integrated design may assist in demonstrating compliance with this Performance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Car parking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provision of car parking spaces is:</w:t>
            </w:r>
          </w:p>
          <w:p w:rsidR="00392A79" w:rsidRPr="00392A79" w:rsidRDefault="00392A79" w:rsidP="00502327">
            <w:pPr>
              <w:numPr>
                <w:ilvl w:val="0"/>
                <w:numId w:val="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appropriate for the use;</w:t>
            </w:r>
          </w:p>
          <w:p w:rsidR="00392A79" w:rsidRPr="00392A79" w:rsidRDefault="00392A79" w:rsidP="00502327">
            <w:pPr>
              <w:numPr>
                <w:ilvl w:val="0"/>
                <w:numId w:val="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Integrated transport assessment for guidance on how to achieve compliance with this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above rates exclude car parking spaces for people with a disability required by Disability Discrimination Act 1992 or the relevant disability discrimination legislation and standards.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is designed to avoid the visual impact of large areas of surface car parking on the streetscape.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1C4FD9">
                    <w:rPr>
                      <w:rFonts w:ascii="Arial" w:eastAsia="Times New Roman" w:hAnsi="Arial" w:cs="Arial"/>
                      <w:sz w:val="18"/>
                      <w:szCs w:val="18"/>
                      <w:lang w:eastAsia="en-AU"/>
                    </w:rPr>
                    <w:t>Note - Refer to Planning scheme policy - Integrated design for details and examples of on-street parking.</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design of car parking areas:</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impact on the safety of the external road network;</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proofErr w:type="gramStart"/>
            <w:r w:rsidRPr="00392A79">
              <w:rPr>
                <w:rFonts w:ascii="Arial" w:eastAsiaTheme="minorEastAsia" w:hAnsi="Arial" w:cs="Arial"/>
                <w:sz w:val="20"/>
                <w:szCs w:val="20"/>
                <w:lang w:eastAsia="en-AU"/>
              </w:rPr>
              <w:t>ensures the safety of pedestrians at all times</w:t>
            </w:r>
            <w:proofErr w:type="gramEnd"/>
            <w:r w:rsidRPr="00392A79">
              <w:rPr>
                <w:rFonts w:ascii="Arial" w:eastAsiaTheme="minorEastAsia" w:hAnsi="Arial" w:cs="Arial"/>
                <w:sz w:val="20"/>
                <w:szCs w:val="20"/>
                <w:lang w:eastAsia="en-AU"/>
              </w:rPr>
              <w:t>;</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ensures the safe movement of vehicles within the site;</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interconnects with car parking areas on adjoining sites wherever possible.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car parking areas are designed and constructed in accordance with Australian Standard AS2890.1 Parking facilities Part 1: Off-</w:t>
            </w:r>
            <w:proofErr w:type="gramStart"/>
            <w:r w:rsidRPr="00392A79">
              <w:rPr>
                <w:rFonts w:ascii="Arial" w:eastAsiaTheme="minorEastAsia" w:hAnsi="Arial" w:cs="Arial"/>
                <w:sz w:val="20"/>
                <w:szCs w:val="20"/>
                <w:lang w:eastAsia="en-AU"/>
              </w:rPr>
              <w:t>street car</w:t>
            </w:r>
            <w:proofErr w:type="gramEnd"/>
            <w:r w:rsidRPr="00392A79">
              <w:rPr>
                <w:rFonts w:ascii="Arial" w:eastAsiaTheme="minorEastAsia" w:hAnsi="Arial" w:cs="Arial"/>
                <w:sz w:val="20"/>
                <w:szCs w:val="20"/>
                <w:lang w:eastAsia="en-AU"/>
              </w:rPr>
              <w:t xml:space="preserve"> parking.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safety and efficiency of pedestrian movement is prioritised in the design of car parking areas through providing pedestrian paths in car parking areas that are:</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located along the most direct pedestrian routes between building entrances, car parks and adjoining uses;</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protected from vehicle intrusion </w:t>
            </w:r>
            <w:proofErr w:type="gramStart"/>
            <w:r w:rsidRPr="00392A79">
              <w:rPr>
                <w:rFonts w:ascii="Arial" w:eastAsiaTheme="minorEastAsia" w:hAnsi="Arial" w:cs="Arial"/>
                <w:sz w:val="20"/>
                <w:szCs w:val="20"/>
                <w:lang w:eastAsia="en-AU"/>
              </w:rPr>
              <w:t>through the use of</w:t>
            </w:r>
            <w:proofErr w:type="gramEnd"/>
            <w:r w:rsidRPr="00392A79">
              <w:rPr>
                <w:rFonts w:ascii="Arial" w:eastAsiaTheme="minorEastAsia" w:hAnsi="Arial" w:cs="Arial"/>
                <w:sz w:val="20"/>
                <w:szCs w:val="20"/>
                <w:lang w:eastAsia="en-AU"/>
              </w:rPr>
              <w:t xml:space="preserve"> physical and visual separation (e.g. wheel stops, trees etc);</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of a width to allow safe and efficient access for prams and wheelchairs.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Loading and servicing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Loading and servicing areas:</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not visible from any street frontage;</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integrated into the design of the building;</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include screening and buffers to reduce negative impacts on adjoining sensitive land uses;</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Centre and neighbourhood hub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Waste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shd w:val="clear" w:color="auto" w:fill="FFFFFF"/>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Bins and bin storage area/s are designed, located and managed to prevent amenity impacts on the locality.</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shd w:val="clear" w:color="auto" w:fill="FFFFFF"/>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E15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meet the criteria in the Planning scheme policy - Waste and is demonstrated in a waste management program.</w:t>
            </w:r>
          </w:p>
        </w:tc>
        <w:tc>
          <w:tcPr>
            <w:tcW w:w="738" w:type="pct"/>
            <w:tcBorders>
              <w:top w:val="outset" w:sz="6" w:space="0" w:color="auto"/>
              <w:left w:val="outset" w:sz="6" w:space="0" w:color="auto"/>
              <w:bottom w:val="outset" w:sz="6" w:space="0" w:color="auto"/>
              <w:right w:val="outset" w:sz="6" w:space="0" w:color="auto"/>
            </w:tcBorders>
            <w:shd w:val="clear" w:color="auto" w:fill="FFFFFF"/>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Landscaping and fencing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On-site landscaping:</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incorporated into the design of the development;</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reduces the dominance of car parking and servicing areas from the street frontage;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incorporates shade trees in car parking areas;</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retains mature trees wherever possible;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contributes to quality public spaces and the microclimate by providing shelter and shade;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All landscaping is to accord with Planning scheme policy - Integrated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is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Surveillance and overlooking are maintained between the road frontage and the main building line.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is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Lighting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PO18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Lighting is designed to provide adequate levels of illumination to public and communal spaces to maximise safety while minimising adverse impacts on residential and other sensitive land uses. </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Amenity</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amenity of the area and adjacent sensitive land uses are protected from the impacts of dust, odour, chemicals and </w:t>
            </w:r>
            <w:proofErr w:type="gramStart"/>
            <w:r w:rsidRPr="00392A79">
              <w:rPr>
                <w:rFonts w:ascii="Arial" w:eastAsiaTheme="minorEastAsia" w:hAnsi="Arial" w:cs="Arial"/>
                <w:sz w:val="20"/>
                <w:szCs w:val="20"/>
                <w:lang w:eastAsia="en-AU"/>
              </w:rPr>
              <w:t>other</w:t>
            </w:r>
            <w:proofErr w:type="gramEnd"/>
            <w:r w:rsidRPr="00392A79">
              <w:rPr>
                <w:rFonts w:ascii="Arial" w:eastAsiaTheme="minorEastAsia" w:hAnsi="Arial" w:cs="Arial"/>
                <w:sz w:val="20"/>
                <w:szCs w:val="20"/>
                <w:lang w:eastAsia="en-AU"/>
              </w:rPr>
              <w:t xml:space="preserve"> nuisance.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rHeight w:val="345"/>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Noise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The use of walls, barriers or fences that are visible from or adjoin a road or public area are not appropriate noise attenuation measures unless adjoining a motorway, arterial road or rail line.</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 </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189"/>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Sensitive land uses are provided with an appropriate acoustic environment within designated external private outdoor living spaces and internal areas while:</w:t>
            </w:r>
          </w:p>
          <w:p w:rsidR="00392A79" w:rsidRPr="00392A79" w:rsidRDefault="00392A79" w:rsidP="00502327">
            <w:pPr>
              <w:numPr>
                <w:ilvl w:val="0"/>
                <w:numId w:val="1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w:t>
            </w:r>
            <w:r w:rsidRPr="00392A79">
              <w:rPr>
                <w:rFonts w:ascii="Arial" w:eastAsia="Times New Roman" w:hAnsi="Arial" w:cs="Arial"/>
                <w:sz w:val="20"/>
                <w:szCs w:val="20"/>
                <w:lang w:eastAsia="en-AU"/>
              </w:rPr>
              <w:lastRenderedPageBreak/>
              <w:t>transport purposes (e.g. existing or future pedestrian paths or cycle lanes etc);</w:t>
            </w:r>
          </w:p>
          <w:p w:rsidR="00392A79" w:rsidRPr="00392A79" w:rsidRDefault="00392A79" w:rsidP="00502327">
            <w:pPr>
              <w:numPr>
                <w:ilvl w:val="0"/>
                <w:numId w:val="1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Planning Scheme Policy – Integrated design for details and examples of noise attenuation structures.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E21.1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meet the criteria outlined in the Planning Scheme Policy – Noise.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Noise attenuation structures (e.g. walls, barriers or fences):</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are not visible from an adjoining road or public area unless:</w:t>
            </w:r>
          </w:p>
          <w:p w:rsidR="00392A79" w:rsidRPr="00392A79" w:rsidRDefault="00392A79" w:rsidP="00502327">
            <w:pPr>
              <w:numPr>
                <w:ilvl w:val="1"/>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adjoining a motorway or rail line; or</w:t>
            </w:r>
          </w:p>
          <w:p w:rsidR="00392A79" w:rsidRPr="00392A79" w:rsidRDefault="00392A79" w:rsidP="00502327">
            <w:pPr>
              <w:numPr>
                <w:ilvl w:val="1"/>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remove existing or prevent future active transport routes or connections to the street network;</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Planning scheme policy – Integrated design for details and examples of noise attenuation structures.</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Overlay map – Active transport for future active transport routes.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Works criteria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Utilities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Access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provides functional and integrated car parking and vehicle access, that:</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prioritises the movement and safety of pedestrians between car parking areas at the </w:t>
            </w:r>
            <w:r w:rsidRPr="00392A79">
              <w:rPr>
                <w:rFonts w:ascii="Arial" w:eastAsia="Times New Roman" w:hAnsi="Arial" w:cs="Arial"/>
                <w:sz w:val="20"/>
                <w:szCs w:val="20"/>
                <w:lang w:eastAsia="en-AU"/>
              </w:rPr>
              <w:lastRenderedPageBreak/>
              <w:t>rear through to the 'main street' and the entrance to the building (e.g. Rear entry, arcade etc.);</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proofErr w:type="gramStart"/>
            <w:r w:rsidRPr="00392A79">
              <w:rPr>
                <w:rFonts w:ascii="Arial" w:eastAsia="Times New Roman" w:hAnsi="Arial" w:cs="Arial"/>
                <w:sz w:val="20"/>
                <w:szCs w:val="20"/>
                <w:lang w:eastAsia="en-AU"/>
              </w:rPr>
              <w:t>provides safety and security of people and property at all times</w:t>
            </w:r>
            <w:proofErr w:type="gramEnd"/>
            <w:r w:rsidRPr="00392A79">
              <w:rPr>
                <w:rFonts w:ascii="Arial" w:eastAsia="Times New Roman" w:hAnsi="Arial" w:cs="Arial"/>
                <w:sz w:val="20"/>
                <w:szCs w:val="20"/>
                <w:lang w:eastAsia="en-AU"/>
              </w:rPr>
              <w:t>;</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impede active transport options;</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impact on the safe and efficient movement of traffic external to the site;</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Centre and neighbourhood hub design for details and examples.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853"/>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required access easements contain a driveway and provision for services constructed to suit the user’s needs. The easement covers all works associated with the access in accordance with Planning scheme policy - Integrated design.</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layout of the development does not compromise:</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development of the road network in the area;</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function or safety of the road network;</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Editor's note - Residential developments should consider amalgamation with the lot to the rear and gaining access via a laneway.</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84"/>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provides for the extension of the road network in the area in accordance with Council’s road network planning.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30"/>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does not compromise future road widening of frontage roads in accordance with the relevant standard and Council’s road planning.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layout allows forward vehicular access to and from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Safe access facilities are provided for all vehicles required to access the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Site access and driveways are designed, located and constructed in accordance with:</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for a Council-controlled road and associated with a Dwelling house:</w:t>
            </w:r>
            <w:r w:rsidRPr="00392A79">
              <w:rPr>
                <w:rFonts w:ascii="Arial" w:eastAsia="Times New Roman" w:hAnsi="Arial" w:cs="Arial"/>
                <w:sz w:val="20"/>
                <w:szCs w:val="20"/>
                <w:lang w:eastAsia="en-AU"/>
              </w:rPr>
              <w:br/>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for a Council-controlled road and not associated with a Dwelling house:</w:t>
            </w:r>
            <w:r w:rsidRPr="00392A79">
              <w:rPr>
                <w:rFonts w:ascii="Arial" w:eastAsia="Times New Roman" w:hAnsi="Arial" w:cs="Arial"/>
                <w:sz w:val="20"/>
                <w:szCs w:val="20"/>
                <w:lang w:eastAsia="en-AU"/>
              </w:rPr>
              <w:br/>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AS/NZS2890.1 Parking facilities - Off </w:t>
            </w:r>
            <w:proofErr w:type="gramStart"/>
            <w:r w:rsidRPr="00392A79">
              <w:rPr>
                <w:rFonts w:ascii="Arial" w:eastAsia="Times New Roman" w:hAnsi="Arial" w:cs="Arial"/>
                <w:sz w:val="20"/>
                <w:szCs w:val="20"/>
                <w:lang w:eastAsia="en-AU"/>
              </w:rPr>
              <w:t>street car</w:t>
            </w:r>
            <w:proofErr w:type="gramEnd"/>
            <w:r w:rsidRPr="00392A79">
              <w:rPr>
                <w:rFonts w:ascii="Arial" w:eastAsia="Times New Roman" w:hAnsi="Arial" w:cs="Arial"/>
                <w:sz w:val="20"/>
                <w:szCs w:val="20"/>
                <w:lang w:eastAsia="en-AU"/>
              </w:rPr>
              <w:t xml:space="preserve"> parking;</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AS/NZS2890.2 - Parking facilities - Off-street commercial vehicle facilities;</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Schedule 8 - Service vehicle requirements;</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where for a State-controlled road, the Safe Intersection Sight Distance requirements in </w:t>
            </w:r>
            <w:proofErr w:type="spellStart"/>
            <w:r w:rsidRPr="00392A79">
              <w:rPr>
                <w:rFonts w:ascii="Arial" w:eastAsia="Times New Roman" w:hAnsi="Arial" w:cs="Arial"/>
                <w:sz w:val="20"/>
                <w:szCs w:val="20"/>
                <w:lang w:eastAsia="en-AU"/>
              </w:rPr>
              <w:t>AustRoads</w:t>
            </w:r>
            <w:proofErr w:type="spellEnd"/>
            <w:r w:rsidRPr="00392A79">
              <w:rPr>
                <w:rFonts w:ascii="Arial" w:eastAsia="Times New Roman" w:hAnsi="Arial" w:cs="Arial"/>
                <w:sz w:val="20"/>
                <w:szCs w:val="20"/>
                <w:lang w:eastAsia="en-AU"/>
              </w:rPr>
              <w:t xml:space="preserve"> and the appropriate IPWEAQ standard drawings, or a copy of a Transport Infrastructure Act 1994, section 62 approval.</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Internal driveways, car parks and access ways are designed and constructed with a sealed pavement and in accordance with: </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AS/NZS 2890.1 Parking Facilities Part 1: Off </w:t>
            </w:r>
            <w:proofErr w:type="gramStart"/>
            <w:r w:rsidRPr="00392A79">
              <w:rPr>
                <w:rFonts w:ascii="Arial" w:eastAsia="Times New Roman" w:hAnsi="Arial" w:cs="Arial"/>
                <w:sz w:val="20"/>
                <w:szCs w:val="20"/>
                <w:lang w:eastAsia="en-AU"/>
              </w:rPr>
              <w:t>street car</w:t>
            </w:r>
            <w:proofErr w:type="gramEnd"/>
            <w:r w:rsidRPr="00392A79">
              <w:rPr>
                <w:rFonts w:ascii="Arial" w:eastAsia="Times New Roman" w:hAnsi="Arial" w:cs="Arial"/>
                <w:sz w:val="20"/>
                <w:szCs w:val="20"/>
                <w:lang w:eastAsia="en-AU"/>
              </w:rPr>
              <w:t xml:space="preserve"> parking;</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AS 2890.2 Parking Facilities Part 2: Off street commercial vehicle facilities;</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 and</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This includes queue lengths (refer to Schedule 8 - Service vehicle requirements), pavement widths and construction.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Landscaping (including shade trees) is provided within car parks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lastRenderedPageBreak/>
                    <w:t>Editor's note - Where associated with a State-controlled road, further requirements may apply, and approvals may be required from the Department of Transport and Main Roads</w:t>
                  </w:r>
                  <w:r w:rsidRPr="00392A79">
                    <w:rPr>
                      <w:rFonts w:ascii="Arial" w:eastAsiaTheme="minorEastAsia" w:hAnsi="Arial" w:cs="Arial"/>
                      <w:sz w:val="20"/>
                      <w:szCs w:val="20"/>
                      <w:lang w:eastAsia="en-AU"/>
                    </w:rPr>
                    <w: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E27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lastRenderedPageBreak/>
                    <w:t>Note - The road network is mapped on Overlay map - Road hierarchy.</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Roads which provide access to the site from an arterial or sub-arterial road remain trafficable during major storm events without flooding or impacting upon residential properties or other premises.</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Access roads to the development have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road network is mapped on Overlay map - Road hierarchy</w:t>
                  </w:r>
                  <w:r w:rsidRPr="00392A79">
                    <w:rPr>
                      <w:rFonts w:ascii="Arial" w:eastAsiaTheme="minorEastAsia" w:hAnsi="Arial" w:cs="Arial"/>
                      <w:sz w:val="20"/>
                      <w:szCs w:val="20"/>
                      <w:lang w:eastAsia="en-AU"/>
                    </w:rPr>
                    <w:t>.</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QUDM for requirements regarding trafficability.</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Culverts and causeways do not increase inundation levels or increase velocities, for all events up to the defined flood event, to upstream or downstream properties.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Street design and layout</w:t>
            </w:r>
          </w:p>
        </w:tc>
        <w:tc>
          <w:tcPr>
            <w:tcW w:w="738" w:type="pct"/>
            <w:tcBorders>
              <w:top w:val="outset" w:sz="6" w:space="0" w:color="auto"/>
              <w:left w:val="outset" w:sz="6" w:space="0" w:color="auto"/>
              <w:bottom w:val="outset" w:sz="6" w:space="0" w:color="auto"/>
              <w:right w:val="outset" w:sz="6" w:space="0" w:color="auto"/>
            </w:tcBorders>
            <w:shd w:val="clear" w:color="auto" w:fill="D8D9D9"/>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D8D9D9"/>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392A79">
              <w:rPr>
                <w:rFonts w:ascii="Arial" w:eastAsiaTheme="minorEastAsia" w:hAnsi="Arial" w:cs="Arial"/>
                <w:sz w:val="20"/>
                <w:szCs w:val="20"/>
                <w:lang w:eastAsia="en-AU"/>
              </w:rPr>
              <w:t>accommodates</w:t>
            </w:r>
            <w:proofErr w:type="gramEnd"/>
            <w:r w:rsidRPr="00392A79">
              <w:rPr>
                <w:rFonts w:ascii="Arial" w:eastAsiaTheme="minorEastAsia" w:hAnsi="Arial" w:cs="Arial"/>
                <w:sz w:val="20"/>
                <w:szCs w:val="20"/>
                <w:lang w:eastAsia="en-AU"/>
              </w:rPr>
              <w:t xml:space="preserve"> the following functions: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to premises by providing convenient vehicular movement for residents between their homes and the major road network;</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safe and convenient pedestrian and cycle movement;</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adequate on street parking;</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drainage paths and treatment facilities;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efficient public transport routes;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utility services location;</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emergency access and waste collection;</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setting and approach (streetscape, landscaping and street furniture) for adjoining residences;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expected traffic speeds and volumes; and</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Environmental areas and corridors for examples of when and where wildlife movement infrastructure is required.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Development is near a transport sensitive location;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Forecast traffic to/from the development exceeds 5% of the </w:t>
                  </w:r>
                  <w:proofErr w:type="gramStart"/>
                  <w:r w:rsidRPr="0009358B">
                    <w:rPr>
                      <w:rFonts w:ascii="Arial" w:eastAsiaTheme="minorEastAsia" w:hAnsi="Arial" w:cs="Arial"/>
                      <w:sz w:val="18"/>
                      <w:szCs w:val="20"/>
                      <w:lang w:eastAsia="en-AU"/>
                    </w:rPr>
                    <w:t>two way</w:t>
                  </w:r>
                  <w:proofErr w:type="gramEnd"/>
                  <w:r w:rsidRPr="0009358B">
                    <w:rPr>
                      <w:rFonts w:ascii="Arial" w:eastAsiaTheme="minorEastAsia" w:hAnsi="Arial" w:cs="Arial"/>
                      <w:sz w:val="18"/>
                      <w:szCs w:val="20"/>
                      <w:lang w:eastAsia="en-AU"/>
                    </w:rPr>
                    <w:t xml:space="preserve"> flow on the adjoining road or intersection, and congestion currently exists or is anticipated within 10 years of the development completion;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Development access onto a sub arterial, or arterial road or within 100m of a signalised intersection;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Residential development greater than 50 lots or dwellings;</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Offices greater than 4,000m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Gross Floor Area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Retail activities including Hardware and trade supplies, Showroom, Shop or Shopping centre greater than 1,000m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proofErr w:type="gramStart"/>
                  <w:r w:rsidRPr="0009358B">
                    <w:rPr>
                      <w:rFonts w:ascii="Arial" w:eastAsiaTheme="minorEastAsia" w:hAnsi="Arial" w:cs="Arial"/>
                      <w:sz w:val="18"/>
                      <w:szCs w:val="20"/>
                      <w:lang w:eastAsia="en-AU"/>
                    </w:rPr>
                    <w:t>Warehouses</w:t>
                  </w:r>
                  <w:r w:rsidRPr="0009358B">
                    <w:rPr>
                      <w:rFonts w:ascii="Arial" w:eastAsiaTheme="minorEastAsia" w:hAnsi="Arial" w:cs="Arial"/>
                      <w:sz w:val="18"/>
                      <w:szCs w:val="20"/>
                      <w:vertAlign w:val="superscript"/>
                      <w:lang w:eastAsia="en-AU"/>
                    </w:rPr>
                    <w:t>(</w:t>
                  </w:r>
                  <w:proofErr w:type="gramEnd"/>
                  <w:r w:rsidRPr="0009358B">
                    <w:rPr>
                      <w:rFonts w:ascii="Arial" w:eastAsiaTheme="minorEastAsia" w:hAnsi="Arial" w:cs="Arial"/>
                      <w:sz w:val="18"/>
                      <w:szCs w:val="20"/>
                      <w:vertAlign w:val="superscript"/>
                      <w:lang w:eastAsia="en-AU"/>
                    </w:rPr>
                    <w:t>88)</w:t>
                  </w:r>
                  <w:r w:rsidRPr="0009358B">
                    <w:rPr>
                      <w:rFonts w:ascii="Arial" w:eastAsiaTheme="minorEastAsia" w:hAnsi="Arial" w:cs="Arial"/>
                      <w:sz w:val="18"/>
                      <w:szCs w:val="20"/>
                      <w:lang w:eastAsia="en-AU"/>
                    </w:rPr>
                    <w:t xml:space="preserve"> greater than 6,000m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On-site carpark greater than 100 spaces.</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09358B">
                    <w:rPr>
                      <w:rFonts w:ascii="Arial" w:eastAsiaTheme="minorEastAsia" w:hAnsi="Arial" w:cs="Arial"/>
                      <w:sz w:val="18"/>
                      <w:szCs w:val="20"/>
                      <w:lang w:eastAsia="en-AU"/>
                    </w:rPr>
                    <w:t>sufficient</w:t>
                  </w:r>
                  <w:proofErr w:type="gramEnd"/>
                  <w:r w:rsidRPr="0009358B">
                    <w:rPr>
                      <w:rFonts w:ascii="Arial" w:eastAsiaTheme="minorEastAsia"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r w:rsidRPr="00392A79">
                    <w:rPr>
                      <w:rFonts w:ascii="Arial" w:eastAsiaTheme="minorEastAsia" w:hAnsi="Arial" w:cs="Arial"/>
                      <w:sz w:val="20"/>
                      <w:szCs w:val="20"/>
                      <w:lang w:eastAsia="en-AU"/>
                    </w:rPr>
                    <w:t>.</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primary and secondary active transport network is mapped on Overlay map - Active transport.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E30.1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turns vehicular access to existing lots is to be retained at new road intersections wherever practicable.</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Existing on-street parking is to be retained at new road intersections and along road frontages wherever practicable.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E30.2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turns vehicular access to existing lots is to be retained at upgraded road intersections wherever practicable.</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Existing on-street parking is to be retained at upgraded road intersections and along road frontages wherever practicable.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E30.3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active transport network is extended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Planning scheme policy - Integrated design and Planning scheme policy - Operational works inspection, maintenance and bonding procedures for design and construction standards.</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09358B">
                    <w:rPr>
                      <w:rFonts w:ascii="Arial" w:eastAsiaTheme="minorEastAsia" w:hAnsi="Arial" w:cs="Arial"/>
                      <w:sz w:val="18"/>
                      <w:szCs w:val="20"/>
                      <w:lang w:eastAsia="en-AU"/>
                    </w:rPr>
                    <w:br/>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intersection spacing (centreline – centreline) along a through road conforms with the following:</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an access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60 metres; or</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60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(Right Left Stagger) = 40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 collector or sub-arterial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100 metres; </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100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intersecting road located on opposite side (Right Left Stagger) = 60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an arterial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300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300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(Right Left Stagger) = 300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Based on the absolute minimum intersection spacing identified above, all turns access may not be permitted (</w:t>
                  </w:r>
                  <w:proofErr w:type="spellStart"/>
                  <w:r w:rsidRPr="0009358B">
                    <w:rPr>
                      <w:rFonts w:ascii="Arial" w:eastAsiaTheme="minorEastAsia" w:hAnsi="Arial" w:cs="Arial"/>
                      <w:sz w:val="18"/>
                      <w:szCs w:val="20"/>
                      <w:lang w:eastAsia="en-AU"/>
                    </w:rPr>
                    <w:t>ie</w:t>
                  </w:r>
                  <w:proofErr w:type="spellEnd"/>
                  <w:r w:rsidRPr="0009358B">
                    <w:rPr>
                      <w:rFonts w:ascii="Arial" w:eastAsiaTheme="minorEastAsia" w:hAnsi="Arial" w:cs="Arial"/>
                      <w:sz w:val="18"/>
                      <w:szCs w:val="20"/>
                      <w:lang w:eastAsia="en-AU"/>
                    </w:rPr>
                    <w:t>. left in/left out only) at intersections with sub-arterial roads or arterial roads.</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Frontage roads include streets where no direct lot access is provided.</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Primary and Secondary active transport network is mapped on Overlay map - Active transport.</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450"/>
              <w:gridCol w:w="2450"/>
              <w:gridCol w:w="50"/>
            </w:tblGrid>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Minimum construction</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Frontage road unconstructed or gravel road only;</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OR</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Frontage road sealed but not constructed* to Planning scheme policy - Integrated design standard;</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OR</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minimum total travel lane width is:</w:t>
                  </w:r>
                </w:p>
                <w:p w:rsidR="00392A79" w:rsidRPr="00392A79" w:rsidRDefault="00392A79" w:rsidP="00502327">
                  <w:pPr>
                    <w:numPr>
                      <w:ilvl w:val="0"/>
                      <w:numId w:val="2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6m for minor roads;</w:t>
                  </w:r>
                </w:p>
                <w:p w:rsidR="00392A79" w:rsidRPr="00392A79" w:rsidRDefault="00392A79" w:rsidP="00502327">
                  <w:pPr>
                    <w:numPr>
                      <w:ilvl w:val="0"/>
                      <w:numId w:val="2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7m for major roads.</w:t>
                  </w:r>
                </w:p>
              </w:tc>
            </w:tr>
            <w:tr w:rsidR="00392A79" w:rsidRPr="0009358B" w:rsidTr="00392A79">
              <w:tblPrEx>
                <w:tblBorders>
                  <w:top w:val="none" w:sz="0" w:space="0" w:color="auto"/>
                  <w:left w:val="none" w:sz="0" w:space="0" w:color="auto"/>
                  <w:bottom w:val="none" w:sz="0" w:space="0" w:color="auto"/>
                  <w:right w:val="none" w:sz="0" w:space="0" w:color="auto"/>
                </w:tblBorders>
              </w:tblPrEx>
              <w:trPr>
                <w:tblCellSpacing w:w="15" w:type="dxa"/>
              </w:trPr>
              <w:tc>
                <w:tcPr>
                  <w:tcW w:w="4933" w:type="dxa"/>
                  <w:gridSpan w:val="4"/>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Major roads are sub-arterial roads and arterial roads.  Minor roads are roads that are not major roads.</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Construction includes all associated works (services, street lighting and </w:t>
                  </w:r>
                  <w:proofErr w:type="spellStart"/>
                  <w:r w:rsidRPr="0009358B">
                    <w:rPr>
                      <w:rFonts w:ascii="Arial" w:eastAsiaTheme="minorEastAsia" w:hAnsi="Arial" w:cs="Arial"/>
                      <w:sz w:val="18"/>
                      <w:szCs w:val="20"/>
                      <w:lang w:eastAsia="en-AU"/>
                    </w:rPr>
                    <w:t>linemarking</w:t>
                  </w:r>
                  <w:proofErr w:type="spellEnd"/>
                  <w:r w:rsidRPr="0009358B">
                    <w:rPr>
                      <w:rFonts w:ascii="Arial" w:eastAsiaTheme="minorEastAsia" w:hAnsi="Arial" w:cs="Arial"/>
                      <w:sz w:val="18"/>
                      <w:szCs w:val="20"/>
                      <w:lang w:eastAsia="en-AU"/>
                    </w:rPr>
                    <w:t>).</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Alignment within road reserves is to be agreed with Council.</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*Roads </w:t>
                  </w:r>
                  <w:proofErr w:type="gramStart"/>
                  <w:r w:rsidRPr="0009358B">
                    <w:rPr>
                      <w:rFonts w:ascii="Arial" w:eastAsiaTheme="minorEastAsia" w:hAnsi="Arial" w:cs="Arial"/>
                      <w:sz w:val="18"/>
                      <w:szCs w:val="20"/>
                      <w:lang w:eastAsia="en-AU"/>
                    </w:rPr>
                    <w:t>are considered to be</w:t>
                  </w:r>
                  <w:proofErr w:type="gramEnd"/>
                  <w:r w:rsidRPr="0009358B">
                    <w:rPr>
                      <w:rFonts w:ascii="Arial" w:eastAsiaTheme="minorEastAsia"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w:t>
                  </w:r>
                  <w:r w:rsidRPr="0009358B">
                    <w:rPr>
                      <w:rFonts w:ascii="Arial" w:eastAsiaTheme="minorEastAsia" w:hAnsi="Arial" w:cs="Arial"/>
                      <w:sz w:val="18"/>
                      <w:szCs w:val="20"/>
                      <w:lang w:eastAsia="en-AU"/>
                    </w:rPr>
                    <w:lastRenderedPageBreak/>
                    <w:t>- Integrated design and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 xml:space="preserve">Stormwater </w:t>
            </w:r>
            <w:r w:rsidRPr="00392A79">
              <w:rPr>
                <w:rFonts w:ascii="Arial" w:eastAsiaTheme="minorEastAsia" w:hAnsi="Arial" w:cs="Arial"/>
                <w:sz w:val="20"/>
                <w:szCs w:val="20"/>
                <w:lang w:eastAsia="en-AU"/>
              </w:rPr>
              <w:t> </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capacity of all minor drainage systems </w:t>
            </w:r>
            <w:proofErr w:type="gramStart"/>
            <w:r w:rsidRPr="00392A79">
              <w:rPr>
                <w:rFonts w:ascii="Arial" w:eastAsiaTheme="minorEastAsia" w:hAnsi="Arial" w:cs="Arial"/>
                <w:sz w:val="20"/>
                <w:szCs w:val="20"/>
                <w:lang w:eastAsia="en-AU"/>
              </w:rPr>
              <w:t>are</w:t>
            </w:r>
            <w:proofErr w:type="gramEnd"/>
            <w:r w:rsidRPr="00392A79">
              <w:rPr>
                <w:rFonts w:ascii="Arial" w:eastAsiaTheme="minorEastAsia" w:hAnsi="Arial" w:cs="Arial"/>
                <w:sz w:val="20"/>
                <w:szCs w:val="20"/>
                <w:lang w:eastAsia="en-AU"/>
              </w:rPr>
              <w:t xml:space="preserve"> designed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network capacity is to be calculated in accordance with the Hydraulic Grade Line method as detailed in Australian Rainfall and Runoff or QUDM.</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inter-allotment drainage infrastructure is provided in accordance with the relevant level as identified in QUDM.</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Major stormwater drainage system(s) have the capacity to safely convey stormwater flows for the 1% AEP event for the fully developed upstream catchment.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internal drainage system safely and adequately conveys the stormwater flows for the 1% AEP event for the fully developed upstream catchment through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external (downstream) drainage system safely conveys the stormwater flows for the 1% AEP event for the fully developed upstream catchment without allowing the flows to encroach upon private lots.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Overland flow paths from roads and public open space areas do not pass through private lots. Drainage pathways are provided to accommodate overland flows from roads and public open space areas.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QUDM for recommended average flow velocities</w:t>
                  </w:r>
                  <w:r w:rsidRPr="00392A79">
                    <w:rPr>
                      <w:rFonts w:ascii="Arial" w:eastAsiaTheme="minorEastAsia" w:hAnsi="Arial" w:cs="Arial"/>
                      <w:sz w:val="20"/>
                      <w:szCs w:val="20"/>
                      <w:lang w:eastAsia="en-AU"/>
                    </w:rPr>
                    <w: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stormwater drainage system is designed and constructed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downstream drainage discharge report in accordance with Planning scheme policy - Stormwater management may </w:t>
                  </w:r>
                  <w:r w:rsidRPr="0009358B">
                    <w:rPr>
                      <w:rFonts w:ascii="Arial" w:eastAsiaTheme="minorEastAsia" w:hAnsi="Arial" w:cs="Arial"/>
                      <w:sz w:val="18"/>
                      <w:szCs w:val="20"/>
                      <w:lang w:eastAsia="en-AU"/>
                    </w:rPr>
                    <w:lastRenderedPageBreak/>
                    <w:t>be required to demonstrate achievement of this performance outcome.</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generated from the development does not compromise the capacity of existing stormwater infrastructure downstream of the site.</w:t>
            </w:r>
          </w:p>
          <w:tbl>
            <w:tblPr>
              <w:tblW w:w="53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7"/>
            </w:tblGrid>
            <w:tr w:rsidR="00392A79" w:rsidRPr="00392A79" w:rsidTr="0009358B">
              <w:trPr>
                <w:tblCellSpacing w:w="15" w:type="dxa"/>
              </w:trPr>
              <w:tc>
                <w:tcPr>
                  <w:tcW w:w="5247"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A downstream drainage discharge report in accordance with Planning scheme policy - Stormwater management may be required to demonstrate compliance with this performance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development:</w:t>
            </w:r>
          </w:p>
          <w:p w:rsidR="00392A79" w:rsidRPr="00392A79" w:rsidRDefault="00392A79" w:rsidP="00502327">
            <w:pPr>
              <w:numPr>
                <w:ilvl w:val="0"/>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for an urban purpose that involves a land area of 2500m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or greater; and</w:t>
            </w:r>
          </w:p>
          <w:p w:rsidR="00392A79" w:rsidRPr="00392A79" w:rsidRDefault="00392A79" w:rsidP="00502327">
            <w:pPr>
              <w:numPr>
                <w:ilvl w:val="0"/>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will result in:</w:t>
            </w:r>
          </w:p>
          <w:p w:rsidR="00392A79" w:rsidRPr="00392A79" w:rsidRDefault="00392A79" w:rsidP="00502327">
            <w:pPr>
              <w:numPr>
                <w:ilvl w:val="1"/>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6 or more dwellings; or</w:t>
            </w:r>
          </w:p>
          <w:p w:rsidR="00392A79" w:rsidRPr="00392A79" w:rsidRDefault="00392A79" w:rsidP="00502327">
            <w:pPr>
              <w:numPr>
                <w:ilvl w:val="1"/>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val="en-US" w:eastAsia="en-AU"/>
              </w:rPr>
              <w:t xml:space="preserve">an </w:t>
            </w:r>
            <w:proofErr w:type="spellStart"/>
            <w:r w:rsidRPr="00392A79">
              <w:rPr>
                <w:rFonts w:ascii="Arial" w:eastAsiaTheme="minorEastAsia" w:hAnsi="Arial" w:cs="Arial"/>
                <w:sz w:val="20"/>
                <w:szCs w:val="20"/>
                <w:lang w:val="en-US" w:eastAsia="en-AU"/>
              </w:rPr>
              <w:t>i</w:t>
            </w:r>
            <w:r w:rsidRPr="00392A79">
              <w:rPr>
                <w:rFonts w:ascii="Arial" w:eastAsiaTheme="minorEastAsia" w:hAnsi="Arial" w:cs="Arial"/>
                <w:sz w:val="20"/>
                <w:szCs w:val="20"/>
                <w:lang w:eastAsia="en-AU"/>
              </w:rPr>
              <w:t>mpervious</w:t>
            </w:r>
            <w:proofErr w:type="spellEnd"/>
            <w:r w:rsidRPr="00392A79">
              <w:rPr>
                <w:rFonts w:ascii="Arial" w:eastAsiaTheme="minorEastAsia" w:hAnsi="Arial" w:cs="Arial"/>
                <w:sz w:val="20"/>
                <w:szCs w:val="20"/>
                <w:lang w:eastAsia="en-AU"/>
              </w:rPr>
              <w:t xml:space="preserve"> area greater than 25% of the net developable area, </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lastRenderedPageBreak/>
                    <w:t xml:space="preserve">Note - A </w:t>
                  </w:r>
                  <w:proofErr w:type="gramStart"/>
                  <w:r w:rsidRPr="0009358B">
                    <w:rPr>
                      <w:rFonts w:ascii="Arial" w:eastAsiaTheme="minorEastAsia" w:hAnsi="Arial" w:cs="Arial"/>
                      <w:sz w:val="18"/>
                      <w:szCs w:val="20"/>
                      <w:lang w:eastAsia="en-AU"/>
                    </w:rPr>
                    <w:t>site based</w:t>
                  </w:r>
                  <w:proofErr w:type="gramEnd"/>
                  <w:r w:rsidRPr="0009358B">
                    <w:rPr>
                      <w:rFonts w:ascii="Arial" w:eastAsiaTheme="minorEastAsia"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450"/>
              <w:gridCol w:w="2450"/>
              <w:gridCol w:w="50"/>
            </w:tblGrid>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Minimum Easement Width (excluding access requirements)</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3.0m</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4.0m</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Easement boundary to be 1m clear of the outside wall of the stormwater pipe (each side)</w:t>
                  </w:r>
                </w:p>
              </w:tc>
            </w:tr>
            <w:tr w:rsidR="00392A79" w:rsidRPr="0009358B" w:rsidTr="00392A79">
              <w:tblPrEx>
                <w:tblBorders>
                  <w:top w:val="none" w:sz="0" w:space="0" w:color="auto"/>
                  <w:left w:val="none" w:sz="0" w:space="0" w:color="auto"/>
                  <w:bottom w:val="none" w:sz="0" w:space="0" w:color="auto"/>
                  <w:right w:val="none" w:sz="0" w:space="0" w:color="auto"/>
                </w:tblBorders>
              </w:tblPrEx>
              <w:trPr>
                <w:tblCellSpacing w:w="15" w:type="dxa"/>
              </w:trPr>
              <w:tc>
                <w:tcPr>
                  <w:tcW w:w="4933" w:type="dxa"/>
                  <w:gridSpan w:val="4"/>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Additional easement width may be required in certain circumstances in order to facilitate maintenance access to the stormwater system. </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(Appendix C) for easement requirements over open channels.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Stormwater management facilities (excluding outlets) are located outside of riparian areas and prevent increased channel bed and bank erosion.</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Site works and construction management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site and any existing structures are maintained in a tidy and safe condition.</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works on-site are managed to:</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minimise as far as practicable, impacts on adjoining or adjacent premises and the streetscape </w:t>
            </w:r>
            <w:proofErr w:type="gramStart"/>
            <w:r w:rsidRPr="00392A79">
              <w:rPr>
                <w:rFonts w:ascii="Arial" w:eastAsia="Times New Roman" w:hAnsi="Arial" w:cs="Arial"/>
                <w:sz w:val="20"/>
                <w:szCs w:val="20"/>
                <w:lang w:eastAsia="en-AU"/>
              </w:rPr>
              <w:t>in regard to</w:t>
            </w:r>
            <w:proofErr w:type="gramEnd"/>
            <w:r w:rsidRPr="00392A79">
              <w:rPr>
                <w:rFonts w:ascii="Arial" w:eastAsia="Times New Roman" w:hAnsi="Arial" w:cs="Arial"/>
                <w:sz w:val="20"/>
                <w:szCs w:val="20"/>
                <w:lang w:eastAsia="en-AU"/>
              </w:rPr>
              <w:t xml:space="preserve"> erosion and sedimentation, dust, noise, safety and light;</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 as far as possible, impacts on the natural environment;</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ensure stormwater discharge is managed in a manner that does not cause actionable nuisance to any person or premises;</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avoid adverse impacts on street streets and their critical root zone.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is not discharged to adjacent properties in a manner that differs significantly from pre-existing conditions;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discharged to adjoining and downstream properties does not cause scour or erosion of any kind;</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discharge rates do not exceed pre-existing conditions;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minimum design storm for all temporary diversion drains and sedimentation basins in accordance with Schedule 10 - Stormwater management design objectives;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proofErr w:type="gramStart"/>
            <w:r w:rsidRPr="00392A79">
              <w:rPr>
                <w:rFonts w:ascii="Arial" w:eastAsiaTheme="minorEastAsia" w:hAnsi="Arial" w:cs="Arial"/>
                <w:sz w:val="20"/>
                <w:szCs w:val="20"/>
                <w:lang w:eastAsia="en-AU"/>
              </w:rPr>
              <w:t>ponding  or</w:t>
            </w:r>
            <w:proofErr w:type="gramEnd"/>
            <w:r w:rsidRPr="00392A79">
              <w:rPr>
                <w:rFonts w:ascii="Arial" w:eastAsiaTheme="minorEastAsia" w:hAnsi="Arial" w:cs="Arial"/>
                <w:sz w:val="20"/>
                <w:szCs w:val="20"/>
                <w:lang w:eastAsia="en-AU"/>
              </w:rPr>
              <w:t xml:space="preserve"> concentration of stormwater does not occur on adjoining properties.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 xml:space="preserve">Stormwater run-off, erosion and sediment controls are constructed in accordance with Planning scheme policy - Integrated design (Appendix C) prior to commencement of any clearing work or earthworks and </w:t>
            </w:r>
            <w:proofErr w:type="gramStart"/>
            <w:r w:rsidRPr="00392A79">
              <w:rPr>
                <w:rFonts w:ascii="Arial" w:eastAsiaTheme="minorEastAsia" w:hAnsi="Arial" w:cs="Arial"/>
                <w:sz w:val="20"/>
                <w:szCs w:val="20"/>
                <w:lang w:eastAsia="en-AU"/>
              </w:rPr>
              <w:t>are maintained and adjusted as necessary at all times</w:t>
            </w:r>
            <w:proofErr w:type="gramEnd"/>
            <w:r w:rsidRPr="00392A79">
              <w:rPr>
                <w:rFonts w:ascii="Arial" w:eastAsiaTheme="minorEastAsia"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measures are adjusted on-site to maximise their effectiveness.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completed earthworks (fill or excavation) area is stabilised using turf, established grass seeding, mulch or sprayed stabilisation techniques to control erosion and sediment and dust from leaving the property.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Dust suppression measures are implemented during construction works to protect nearby premises from unreasonable dust impacts.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dust emissions extend beyond the boundaries of the site during soil disturbances and construction works.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development works including the transportation of material to and from the site are managed to not </w:t>
            </w:r>
            <w:r w:rsidRPr="00392A79">
              <w:rPr>
                <w:rFonts w:ascii="Arial" w:eastAsiaTheme="minorEastAsia" w:hAnsi="Arial" w:cs="Arial"/>
                <w:sz w:val="20"/>
                <w:szCs w:val="20"/>
                <w:lang w:eastAsia="en-AU"/>
              </w:rPr>
              <w:lastRenderedPageBreak/>
              <w:t>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haulage route must be identified and approved by Council where imported or exported material is transported to the site via a road of Local Collector standard or less, and:</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the aggregate volume of imported or exported material is greater than 1000m</w:t>
                  </w:r>
                  <w:r w:rsidRPr="0009358B">
                    <w:rPr>
                      <w:rFonts w:ascii="Arial" w:eastAsiaTheme="minorEastAsia" w:hAnsi="Arial" w:cs="Arial"/>
                      <w:sz w:val="18"/>
                      <w:szCs w:val="20"/>
                      <w:vertAlign w:val="superscript"/>
                      <w:lang w:eastAsia="en-AU"/>
                    </w:rPr>
                    <w:t>3</w:t>
                  </w:r>
                  <w:r w:rsidRPr="0009358B">
                    <w:rPr>
                      <w:rFonts w:ascii="Arial" w:eastAsiaTheme="minorEastAsia" w:hAnsi="Arial" w:cs="Arial"/>
                      <w:sz w:val="18"/>
                      <w:szCs w:val="20"/>
                      <w:lang w:eastAsia="en-AU"/>
                    </w:rPr>
                    <w:t>; or</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the aggregate volume of imported or exported material is greater than 200m</w:t>
                  </w:r>
                  <w:r w:rsidRPr="0009358B">
                    <w:rPr>
                      <w:rFonts w:ascii="Arial" w:eastAsiaTheme="minorEastAsia" w:hAnsi="Arial" w:cs="Arial"/>
                      <w:sz w:val="18"/>
                      <w:szCs w:val="20"/>
                      <w:vertAlign w:val="superscript"/>
                      <w:lang w:eastAsia="en-AU"/>
                    </w:rPr>
                    <w:t>3</w:t>
                  </w:r>
                  <w:r w:rsidRPr="0009358B">
                    <w:rPr>
                      <w:rFonts w:ascii="Arial" w:eastAsiaTheme="minorEastAsia" w:hAnsi="Arial" w:cs="Arial"/>
                      <w:sz w:val="18"/>
                      <w:szCs w:val="20"/>
                      <w:lang w:eastAsia="en-AU"/>
                    </w:rPr>
                    <w:t xml:space="preserve"> per day; or</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the proposed haulage route involves a vulnerable land use or shopping centre.</w:t>
                  </w:r>
                </w:p>
              </w:tc>
            </w:tr>
          </w:tbl>
          <w:p w:rsidR="00392A79" w:rsidRPr="00392A79" w:rsidRDefault="00392A79" w:rsidP="00392A79">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dilapidation report (including photographs) may be required for the haulage route to demonstrate compliance with this PO.</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Editor's note - Where associated with a State-controlled </w:t>
                  </w:r>
                  <w:proofErr w:type="gramStart"/>
                  <w:r w:rsidRPr="0009358B">
                    <w:rPr>
                      <w:rFonts w:ascii="Arial" w:eastAsiaTheme="minorEastAsia" w:hAnsi="Arial" w:cs="Arial"/>
                      <w:sz w:val="18"/>
                      <w:szCs w:val="20"/>
                      <w:lang w:eastAsia="en-AU"/>
                    </w:rPr>
                    <w:t>road ,</w:t>
                  </w:r>
                  <w:proofErr w:type="gramEnd"/>
                  <w:r w:rsidRPr="0009358B">
                    <w:rPr>
                      <w:rFonts w:ascii="Arial" w:eastAsiaTheme="minorEastAsia" w:hAnsi="Arial" w:cs="Arial"/>
                      <w:sz w:val="18"/>
                      <w:szCs w:val="20"/>
                      <w:lang w:eastAsia="en-AU"/>
                    </w:rPr>
                    <w:t xml:space="preserve"> further requirements may apply, and approval may be required from the Department of Transport and Main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E44.1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Any material dropped, deposited or spilled on the roads as a result of construction processes associated with the site </w:t>
            </w:r>
            <w:proofErr w:type="gramStart"/>
            <w:r w:rsidRPr="00392A79">
              <w:rPr>
                <w:rFonts w:ascii="Arial" w:eastAsiaTheme="minorEastAsia" w:hAnsi="Arial" w:cs="Arial"/>
                <w:sz w:val="20"/>
                <w:szCs w:val="20"/>
                <w:lang w:eastAsia="en-AU"/>
              </w:rPr>
              <w:t>are to be cleaned at all times</w:t>
            </w:r>
            <w:proofErr w:type="gramEnd"/>
            <w:r w:rsidRPr="00392A79">
              <w:rPr>
                <w:rFonts w:ascii="Arial" w:eastAsiaTheme="minorEastAsia" w:hAnsi="Arial" w:cs="Arial"/>
                <w:sz w:val="20"/>
                <w:szCs w:val="20"/>
                <w:lang w:eastAsia="en-AU"/>
              </w:rPr>
              <w: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road hierarchy is mapped on Overlay map - Road hierarchy.</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dilapidation report may be required to demonstrate compliance with this 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lastRenderedPageBreak/>
                    <w:t>Note - A traffic control plan prepared in accordance with the Manual of Uniform Traffic Control Devices (MUTCD) will be required for any works that will affect access, traffic movements or traffic safety in existing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to the development site is obtained via an existing lawful access point.</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At completion of construction all disturbed areas of the site are to be:</w:t>
            </w:r>
          </w:p>
          <w:p w:rsidR="00392A79" w:rsidRPr="00392A79" w:rsidRDefault="00392A79" w:rsidP="00502327">
            <w:pPr>
              <w:numPr>
                <w:ilvl w:val="0"/>
                <w:numId w:val="2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topsoiled with a minimum compacted thickness of fifty (50) millimetres;</w:t>
            </w:r>
          </w:p>
          <w:p w:rsidR="00392A79" w:rsidRPr="00392A79" w:rsidRDefault="00392A79" w:rsidP="00502327">
            <w:pPr>
              <w:numPr>
                <w:ilvl w:val="0"/>
                <w:numId w:val="2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These areas are to be maintained during any maintenance period to maximise grass coverage.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Soil disturbances are staged into manageable areas of not greater than 3.5 ha.</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The clearing of vegetation on-site:</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limited to the area of infrastructure works, buildings areas and other necessary areas for the works;</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includes the removal of declared weeds and other materials which are detrimental to the intended use of the land;</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No burning of cleared vegetation is permitted.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E47.1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No parking of vehicles or storage of machinery or goods is to occur in these areas during development works.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Disposal of materials is managed in one or more of the following ways:</w:t>
            </w:r>
          </w:p>
          <w:p w:rsidR="00392A79" w:rsidRPr="00392A79" w:rsidRDefault="00392A79" w:rsidP="00502327">
            <w:pPr>
              <w:numPr>
                <w:ilvl w:val="0"/>
                <w:numId w:val="2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cleared vegetation, declared weeds, stumps, rubbish, car bodies, scrap metal and the like are removed and disposed of in a Council land fill facility; or</w:t>
            </w:r>
          </w:p>
          <w:p w:rsidR="00392A79" w:rsidRPr="00392A79" w:rsidRDefault="00392A79" w:rsidP="00502327">
            <w:pPr>
              <w:numPr>
                <w:ilvl w:val="0"/>
                <w:numId w:val="2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chipped vegetation must be stored in an approved location.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374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development works are carried out at times which minimise noise impacts to residents. </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development works are carried out within the following times: </w:t>
            </w:r>
          </w:p>
          <w:p w:rsidR="00392A79" w:rsidRPr="00392A79" w:rsidRDefault="00392A79" w:rsidP="00502327">
            <w:pPr>
              <w:numPr>
                <w:ilvl w:val="0"/>
                <w:numId w:val="2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Monday to Saturday (other than public holidays) between 6:30am and 6:30pm on the same day;</w:t>
            </w:r>
          </w:p>
          <w:p w:rsidR="00392A79" w:rsidRPr="00392A79" w:rsidRDefault="00392A79" w:rsidP="00502327">
            <w:pPr>
              <w:numPr>
                <w:ilvl w:val="0"/>
                <w:numId w:val="2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298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PO49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Earthworks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600"/>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On-site earthworks are designed to consider the visual and amenity impact as they relate to:</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natural topographical features of the site;</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short and long-term slope stability;</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soft or compressible foundation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reactive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low density or potentially collapsing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existing fills and soil contamination that may exist on-site;</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stability and maintenance of steep slopes and batters;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excavation (cut) and fill and impacts on the amenity of adjoining lots (e.g. residential)</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Stabilisation measures are provided, as necessary, to ensure long-term stability and low maintenance of steep slopes and batters.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236"/>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fill </w:t>
            </w:r>
            <w:proofErr w:type="gramStart"/>
            <w:r w:rsidRPr="00392A79">
              <w:rPr>
                <w:rFonts w:ascii="Arial" w:eastAsiaTheme="minorEastAsia" w:hAnsi="Arial" w:cs="Arial"/>
                <w:sz w:val="20"/>
                <w:szCs w:val="20"/>
                <w:lang w:eastAsia="en-AU"/>
              </w:rPr>
              <w:t>batters</w:t>
            </w:r>
            <w:proofErr w:type="gramEnd"/>
            <w:r w:rsidRPr="00392A79">
              <w:rPr>
                <w:rFonts w:ascii="Arial" w:eastAsiaTheme="minorEastAsia" w:hAnsi="Arial" w:cs="Arial"/>
                <w:sz w:val="20"/>
                <w:szCs w:val="20"/>
                <w:lang w:eastAsia="en-AU"/>
              </w:rPr>
              <w:t xml:space="preserve"> steeper than 1 (V) in 6 (H) on residential lots are fully turfed to prevent scour and erosion.</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filling or excavation is contained within the site and is free draining.</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fill placed on-site is:</w:t>
            </w:r>
          </w:p>
          <w:p w:rsidR="00392A79" w:rsidRPr="00392A79" w:rsidRDefault="00392A79" w:rsidP="00502327">
            <w:pPr>
              <w:numPr>
                <w:ilvl w:val="0"/>
                <w:numId w:val="3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limited to that area necessary for the approved use;</w:t>
            </w:r>
          </w:p>
          <w:p w:rsidR="00392A79" w:rsidRPr="00392A79" w:rsidRDefault="00392A79" w:rsidP="00502327">
            <w:pPr>
              <w:numPr>
                <w:ilvl w:val="0"/>
                <w:numId w:val="3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clean and uncontaminated (i.e. no building waste, concrete, green waste, actual acid sulfate soils, potential acid sulfate soils or contaminated material etc.).</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2092"/>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site is </w:t>
            </w:r>
            <w:proofErr w:type="gramStart"/>
            <w:r w:rsidRPr="00392A79">
              <w:rPr>
                <w:rFonts w:ascii="Arial" w:eastAsiaTheme="minorEastAsia" w:hAnsi="Arial" w:cs="Arial"/>
                <w:sz w:val="20"/>
                <w:szCs w:val="20"/>
                <w:lang w:eastAsia="en-AU"/>
              </w:rPr>
              <w:t>prepared</w:t>
            </w:r>
            <w:proofErr w:type="gramEnd"/>
            <w:r w:rsidRPr="00392A79">
              <w:rPr>
                <w:rFonts w:ascii="Arial" w:eastAsiaTheme="minorEastAsia" w:hAnsi="Arial" w:cs="Arial"/>
                <w:sz w:val="20"/>
                <w:szCs w:val="20"/>
                <w:lang w:eastAsia="en-AU"/>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9"/>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Inspection and certification of steep slopes and batters may be required by a suitably qualified and experienced RPEQ.</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Embankments are stepped, terraced and landscaped to not adversely impact on the visual amenity of the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Any embankments more than 1.5 metres in height are stepped, terraced and landscaped.</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b/>
                <w:bCs/>
                <w:sz w:val="20"/>
                <w:szCs w:val="20"/>
                <w:lang w:eastAsia="en-AU"/>
              </w:rPr>
              <w:t>Figure - Embankment</w:t>
            </w: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lastRenderedPageBreak/>
              <w:drawing>
                <wp:inline distT="0" distB="0" distL="0" distR="0" wp14:anchorId="0890A36B" wp14:editId="2FD9E363">
                  <wp:extent cx="3237532" cy="994867"/>
                  <wp:effectExtent l="0" t="0" r="1270" b="0"/>
                  <wp:docPr id="151" name="ID-2693407-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7-497650" descr="embankme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6" r="4202"/>
                          <a:stretch/>
                        </pic:blipFill>
                        <pic:spPr bwMode="auto">
                          <a:xfrm>
                            <a:off x="0" y="0"/>
                            <a:ext cx="3261621" cy="10022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951"/>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is undertaken in a manner that:</w:t>
            </w:r>
          </w:p>
          <w:p w:rsidR="00392A79" w:rsidRPr="00392A79" w:rsidRDefault="00392A79" w:rsidP="00502327">
            <w:pPr>
              <w:numPr>
                <w:ilvl w:val="0"/>
                <w:numId w:val="3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does not adversely impact on a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land;</w:t>
            </w:r>
          </w:p>
          <w:p w:rsidR="00392A79" w:rsidRPr="00392A79" w:rsidRDefault="00392A79" w:rsidP="00502327">
            <w:pPr>
              <w:numPr>
                <w:ilvl w:val="0"/>
                <w:numId w:val="3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does not preclude reasonable access to a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Note </w:t>
                  </w:r>
                  <w:proofErr w:type="gramStart"/>
                  <w:r w:rsidRPr="0009358B">
                    <w:rPr>
                      <w:rFonts w:ascii="Arial" w:eastAsiaTheme="minorEastAsia" w:hAnsi="Arial" w:cs="Arial"/>
                      <w:sz w:val="18"/>
                      <w:szCs w:val="20"/>
                      <w:lang w:eastAsia="en-AU"/>
                    </w:rPr>
                    <w:t>-  Public</w:t>
                  </w:r>
                  <w:proofErr w:type="gramEnd"/>
                  <w:r w:rsidRPr="0009358B">
                    <w:rPr>
                      <w:rFonts w:ascii="Arial" w:eastAsiaTheme="minorEastAsia" w:hAnsi="Arial" w:cs="Arial"/>
                      <w:sz w:val="18"/>
                      <w:szCs w:val="20"/>
                      <w:lang w:eastAsia="en-AU"/>
                    </w:rPr>
                    <w:t xml:space="preserve"> sector entity is defined in Schedule 2 of the Act.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Public sector entity is defined in Schedule 2 of the Act.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Earthworks that would result in any of the following are not carried out on-site:</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 reduction in cover over the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service to less than 600mm;</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an increase in finished surface grade over, or within 1.5m on each side of, the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above that which existed prior to the earthworks being undertaken; and</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prevent reasonable access to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Public sector entity is defined in Schedule 2 of the Act.</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building work covered by QDC MP1.4 is excluded from this provision.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958"/>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PO53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412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does not result in</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adverse impacts on the hydrological and hydraulic capacity of the waterway or floodway;</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increased flood inundation outside the site;</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any reduction in the flood storage capacity in the floodway;</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any clearing of native vegetation.</w:t>
            </w:r>
          </w:p>
          <w:tbl>
            <w:tblPr>
              <w:tblW w:w="51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5"/>
            </w:tblGrid>
            <w:tr w:rsidR="00392A79" w:rsidRPr="0009358B" w:rsidTr="0009358B">
              <w:trPr>
                <w:tblCellSpacing w:w="15" w:type="dxa"/>
              </w:trPr>
              <w:tc>
                <w:tcPr>
                  <w:tcW w:w="510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09358B">
                    <w:rPr>
                      <w:rFonts w:ascii="Arial" w:eastAsia="Times New Roman" w:hAnsi="Arial" w:cs="Arial"/>
                      <w:sz w:val="18"/>
                      <w:szCs w:val="20"/>
                      <w:lang w:eastAsia="en-AU"/>
                    </w:rPr>
                    <w:t>site based</w:t>
                  </w:r>
                  <w:proofErr w:type="gramEnd"/>
                  <w:r w:rsidRPr="0009358B">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and excavation undertaken on the development site are shaped in a manner which does not:</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prevent stormwater surface flow which, prior to commencement of the earthworks, passed onto the development site, from entering the land; or</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redirect stormwater surface flow away from existing flow paths; or</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divert stormwater surface flow onto adjacent land, (other than a road), in a manner which: </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concentrates the flow; or</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increases the flow rate of stormwater over the affected section of the adjacent land above the situation which existed prior to the diversion; or</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causes actionable nuisance to any person, property or premises.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Planning scheme policy - Residential design for guidance on how to achieve compliance with this performance outcome. </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 retaining structures:</w:t>
            </w:r>
          </w:p>
          <w:p w:rsidR="00392A79" w:rsidRPr="00392A79" w:rsidRDefault="00392A79" w:rsidP="00502327">
            <w:pPr>
              <w:numPr>
                <w:ilvl w:val="0"/>
                <w:numId w:val="3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not constructed of boulder rocks or timber;</w:t>
            </w:r>
          </w:p>
          <w:p w:rsidR="00392A79" w:rsidRPr="00392A79" w:rsidRDefault="00392A79" w:rsidP="00502327">
            <w:pPr>
              <w:numPr>
                <w:ilvl w:val="0"/>
                <w:numId w:val="3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height is no greater than 900mm, are provided in accordance with Figure - Retaining on a boundary;</w:t>
            </w:r>
          </w:p>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drawing>
                <wp:inline distT="0" distB="0" distL="0" distR="0" wp14:anchorId="54F52A8D" wp14:editId="5C6E380A">
                  <wp:extent cx="2876550" cy="1838325"/>
                  <wp:effectExtent l="0" t="0" r="0" b="9525"/>
                  <wp:docPr id="152"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92A79" w:rsidRPr="00392A79" w:rsidRDefault="00392A79" w:rsidP="00392A79">
            <w:pPr>
              <w:spacing w:after="0" w:line="240" w:lineRule="auto"/>
              <w:rPr>
                <w:rFonts w:ascii="Arial" w:eastAsia="Times New Roman" w:hAnsi="Arial" w:cs="Arial"/>
                <w:sz w:val="20"/>
                <w:szCs w:val="20"/>
                <w:lang w:eastAsia="en-AU"/>
              </w:rPr>
            </w:pPr>
          </w:p>
          <w:p w:rsidR="00392A79" w:rsidRPr="00392A79" w:rsidRDefault="00392A79" w:rsidP="00502327">
            <w:pPr>
              <w:numPr>
                <w:ilvl w:val="0"/>
                <w:numId w:val="3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392A79" w:rsidRPr="00392A79" w:rsidRDefault="00392A79" w:rsidP="00502327">
            <w:pPr>
              <w:numPr>
                <w:ilvl w:val="0"/>
                <w:numId w:val="3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where height is greater than 1.5m, are to be setback and stepped 1.5m vertical: 1.5m horizontal, terraced, landscaped and drained as shown below.</w:t>
            </w: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drawing>
                <wp:inline distT="0" distB="0" distL="0" distR="0" wp14:anchorId="0B68C927" wp14:editId="4DF997C3">
                  <wp:extent cx="2876550" cy="2533650"/>
                  <wp:effectExtent l="0" t="0" r="0" b="0"/>
                  <wp:docPr id="153"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392A79" w:rsidRPr="00392A79" w:rsidRDefault="00392A79" w:rsidP="00392A79">
            <w:pPr>
              <w:spacing w:after="240" w:line="240" w:lineRule="auto"/>
              <w:rPr>
                <w:rFonts w:ascii="Arial" w:eastAsia="Times New Roman" w:hAnsi="Arial" w:cs="Arial"/>
                <w:sz w:val="20"/>
                <w:szCs w:val="20"/>
                <w:lang w:eastAsia="en-AU"/>
              </w:rPr>
            </w:pP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lastRenderedPageBreak/>
              <w:drawing>
                <wp:inline distT="0" distB="0" distL="0" distR="0" wp14:anchorId="7B3FEF53" wp14:editId="5ECD3B09">
                  <wp:extent cx="2876550" cy="2600325"/>
                  <wp:effectExtent l="0" t="0" r="0" b="9525"/>
                  <wp:docPr id="154"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392A79" w:rsidRPr="00392A79" w:rsidRDefault="00392A79" w:rsidP="00392A79">
            <w:pPr>
              <w:spacing w:after="24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E913A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13AC" w:rsidRPr="00392A79" w:rsidRDefault="00E913AC"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913AC" w:rsidRPr="003E5B10" w:rsidTr="00392A79">
              <w:trPr>
                <w:tblCellSpacing w:w="15" w:type="dxa"/>
              </w:trPr>
              <w:tc>
                <w:tcPr>
                  <w:tcW w:w="14944" w:type="dxa"/>
                  <w:vAlign w:val="center"/>
                  <w:hideMark/>
                </w:tcPr>
                <w:p w:rsidR="00E913AC" w:rsidRPr="003E5B10" w:rsidRDefault="00E913AC" w:rsidP="00392A79">
                  <w:pPr>
                    <w:spacing w:before="100" w:beforeAutospacing="1" w:after="100" w:afterAutospacing="1" w:line="240" w:lineRule="auto"/>
                    <w:rPr>
                      <w:rFonts w:ascii="Arial" w:eastAsiaTheme="minorEastAsia" w:hAnsi="Arial" w:cs="Arial"/>
                      <w:sz w:val="18"/>
                      <w:szCs w:val="18"/>
                      <w:lang w:eastAsia="en-AU"/>
                    </w:rPr>
                  </w:pPr>
                  <w:r w:rsidRPr="003E5B10">
                    <w:rPr>
                      <w:rFonts w:ascii="Arial" w:eastAsiaTheme="minorEastAsia" w:hAnsi="Arial" w:cs="Arial"/>
                      <w:sz w:val="18"/>
                      <w:szCs w:val="18"/>
                      <w:lang w:eastAsia="en-AU"/>
                    </w:rPr>
                    <w:t>Note - The provisions under this heading only apply if:</w:t>
                  </w:r>
                </w:p>
                <w:p w:rsidR="00E913AC" w:rsidRPr="003E5B10" w:rsidRDefault="00E913AC" w:rsidP="00502327">
                  <w:pPr>
                    <w:numPr>
                      <w:ilvl w:val="0"/>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the development is for, or incorporates:</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reconfiguring a lot for a community title scheme creating 1 or more vacant lots;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2 or more sole occupancy units on the same lot, or within the same community titles scheme;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a Tourist park</w:t>
                  </w:r>
                  <w:r w:rsidRPr="003E5B10">
                    <w:rPr>
                      <w:rFonts w:ascii="Arial" w:eastAsia="Times New Roman" w:hAnsi="Arial" w:cs="Arial"/>
                      <w:sz w:val="18"/>
                      <w:szCs w:val="18"/>
                      <w:vertAlign w:val="superscript"/>
                      <w:lang w:eastAsia="en-AU"/>
                    </w:rPr>
                    <w:t>(</w:t>
                  </w:r>
                  <w:hyperlink r:id="rId12"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E5B10">
                      <w:rPr>
                        <w:rFonts w:ascii="Arial" w:eastAsia="Times New Roman" w:hAnsi="Arial" w:cs="Arial"/>
                        <w:color w:val="0000FF"/>
                        <w:sz w:val="18"/>
                        <w:szCs w:val="18"/>
                        <w:u w:val="single"/>
                        <w:vertAlign w:val="superscript"/>
                        <w:lang w:eastAsia="en-AU"/>
                      </w:rPr>
                      <w:t>84</w:t>
                    </w:r>
                  </w:hyperlink>
                  <w:r w:rsidRPr="003E5B10">
                    <w:rPr>
                      <w:rFonts w:ascii="Arial" w:eastAsia="Times New Roman" w:hAnsi="Arial" w:cs="Arial"/>
                      <w:sz w:val="18"/>
                      <w:szCs w:val="18"/>
                      <w:vertAlign w:val="superscript"/>
                      <w:lang w:eastAsia="en-AU"/>
                    </w:rPr>
                    <w:t>)</w:t>
                  </w:r>
                  <w:r w:rsidRPr="003E5B10">
                    <w:rPr>
                      <w:rFonts w:ascii="Arial" w:eastAsia="Times New Roman" w:hAnsi="Arial" w:cs="Arial"/>
                      <w:sz w:val="18"/>
                      <w:szCs w:val="18"/>
                      <w:lang w:eastAsia="en-AU"/>
                    </w:rPr>
                    <w:t xml:space="preserve"> with accommodation in the form of caravans or tents;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outdoor sales</w:t>
                  </w:r>
                  <w:r w:rsidRPr="003E5B10">
                    <w:rPr>
                      <w:rFonts w:ascii="Arial" w:eastAsia="Times New Roman" w:hAnsi="Arial" w:cs="Arial"/>
                      <w:sz w:val="18"/>
                      <w:szCs w:val="18"/>
                      <w:vertAlign w:val="superscript"/>
                      <w:lang w:eastAsia="en-AU"/>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E5B10">
                      <w:rPr>
                        <w:rFonts w:ascii="Arial" w:eastAsia="Times New Roman" w:hAnsi="Arial" w:cs="Arial"/>
                        <w:color w:val="0000FF"/>
                        <w:sz w:val="18"/>
                        <w:szCs w:val="18"/>
                        <w:u w:val="single"/>
                        <w:vertAlign w:val="superscript"/>
                        <w:lang w:eastAsia="en-AU"/>
                      </w:rPr>
                      <w:t>54</w:t>
                    </w:r>
                  </w:hyperlink>
                  <w:r w:rsidRPr="003E5B10">
                    <w:rPr>
                      <w:rFonts w:ascii="Arial" w:eastAsia="Times New Roman" w:hAnsi="Arial" w:cs="Arial"/>
                      <w:sz w:val="18"/>
                      <w:szCs w:val="18"/>
                      <w:vertAlign w:val="superscript"/>
                      <w:lang w:eastAsia="en-AU"/>
                    </w:rPr>
                    <w:t>)</w:t>
                  </w:r>
                  <w:r w:rsidRPr="003E5B10">
                    <w:rPr>
                      <w:rFonts w:ascii="Arial" w:eastAsia="Times New Roman" w:hAnsi="Arial" w:cs="Arial"/>
                      <w:sz w:val="18"/>
                      <w:szCs w:val="18"/>
                      <w:lang w:eastAsia="en-AU"/>
                    </w:rPr>
                    <w:t>, outdoor processing or outdoor storage where involving combustible materials.</w:t>
                  </w:r>
                </w:p>
                <w:p w:rsidR="00E913AC" w:rsidRPr="003E5B10" w:rsidRDefault="00E913AC" w:rsidP="00392A79">
                  <w:pPr>
                    <w:spacing w:before="100" w:beforeAutospacing="1" w:after="100" w:afterAutospacing="1" w:line="240" w:lineRule="auto"/>
                    <w:rPr>
                      <w:rFonts w:ascii="Arial" w:eastAsiaTheme="minorEastAsia" w:hAnsi="Arial" w:cs="Arial"/>
                      <w:sz w:val="18"/>
                      <w:szCs w:val="18"/>
                      <w:lang w:eastAsia="en-AU"/>
                    </w:rPr>
                  </w:pPr>
                  <w:r w:rsidRPr="003E5B10">
                    <w:rPr>
                      <w:rFonts w:ascii="Arial" w:eastAsiaTheme="minorEastAsia" w:hAnsi="Arial" w:cs="Arial"/>
                      <w:sz w:val="18"/>
                      <w:szCs w:val="18"/>
                      <w:lang w:eastAsia="en-AU"/>
                    </w:rPr>
                    <w:t>AND</w:t>
                  </w:r>
                </w:p>
                <w:p w:rsidR="00E913AC" w:rsidRPr="003E5B10" w:rsidRDefault="00E913AC" w:rsidP="00502327">
                  <w:pPr>
                    <w:numPr>
                      <w:ilvl w:val="0"/>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none of the following exceptions apply:</w:t>
                  </w:r>
                </w:p>
                <w:p w:rsidR="00E913AC" w:rsidRPr="003E5B10" w:rsidRDefault="00E913AC" w:rsidP="00502327">
                  <w:pPr>
                    <w:numPr>
                      <w:ilvl w:val="1"/>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 xml:space="preserve">the distributor-retailer for the area has indicated, in its </w:t>
                  </w:r>
                  <w:proofErr w:type="spellStart"/>
                  <w:r w:rsidRPr="003E5B10">
                    <w:rPr>
                      <w:rFonts w:ascii="Arial" w:eastAsia="Times New Roman" w:hAnsi="Arial" w:cs="Arial"/>
                      <w:sz w:val="18"/>
                      <w:szCs w:val="18"/>
                      <w:lang w:eastAsia="en-AU"/>
                    </w:rPr>
                    <w:t>netserv</w:t>
                  </w:r>
                  <w:proofErr w:type="spellEnd"/>
                  <w:r w:rsidRPr="003E5B10">
                    <w:rPr>
                      <w:rFonts w:ascii="Arial" w:eastAsia="Times New Roman" w:hAnsi="Arial" w:cs="Arial"/>
                      <w:sz w:val="18"/>
                      <w:szCs w:val="18"/>
                      <w:lang w:eastAsia="en-AU"/>
                    </w:rPr>
                    <w:t xml:space="preserve"> plan, that the premises will not be served by that entity’s reticulated water supply; or</w:t>
                  </w:r>
                </w:p>
                <w:p w:rsidR="00E913AC" w:rsidRPr="003E5B10" w:rsidRDefault="00E913AC" w:rsidP="00502327">
                  <w:pPr>
                    <w:numPr>
                      <w:ilvl w:val="1"/>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every part of the development site is within 60m walking distance of an existing fire hydrant on the distributor-retailer’s reticulated water supply network, measured around all obstructions, either on or adjacent to the site.</w:t>
                  </w:r>
                </w:p>
              </w:tc>
            </w:tr>
            <w:tr w:rsidR="00E913AC" w:rsidRPr="003E5B10" w:rsidTr="00392A79">
              <w:trPr>
                <w:tblCellSpacing w:w="15" w:type="dxa"/>
              </w:trPr>
              <w:tc>
                <w:tcPr>
                  <w:tcW w:w="14944" w:type="dxa"/>
                  <w:vAlign w:val="center"/>
                  <w:hideMark/>
                </w:tcPr>
                <w:p w:rsidR="00E913AC" w:rsidRPr="003E5B10" w:rsidRDefault="00E913AC" w:rsidP="00392A79">
                  <w:pPr>
                    <w:spacing w:after="0"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E913AC" w:rsidRPr="00392A79" w:rsidRDefault="00E913AC"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Development incorporates a fire fighting system that:</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satisfies the reasonable needs of the fire fighting entity for the area;</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appropriate for the size, shape and topography of the development and its surrounds;</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compatible with the operational equipment available to the fire fighting entity for the area;</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considers the fire hazard inherent in the materials comprising the development and their proximity to one another;</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considers the fire hazard inherent in the surrounds to the development site;</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The Queensland Fire and Emergency Services is the entity currently providing the fire fighting function for the urban areas of the Moreton Bay Region.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E57.1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 xml:space="preserve">External fire hydrant facilities are provided on site to the standard prescribed under the relevant parts of </w:t>
            </w:r>
            <w:r w:rsidRPr="00392A79">
              <w:rPr>
                <w:rFonts w:ascii="Arial" w:eastAsiaTheme="minorEastAsia" w:hAnsi="Arial" w:cs="Arial"/>
                <w:i/>
                <w:iCs/>
                <w:sz w:val="20"/>
                <w:szCs w:val="20"/>
                <w:lang w:eastAsia="en-AU"/>
              </w:rPr>
              <w:t>Australian Standard AS 2419.1 (2005) – Fire Hydrant Installations</w:t>
            </w:r>
            <w:r w:rsidRPr="00392A79">
              <w:rPr>
                <w:rFonts w:ascii="Arial" w:eastAsiaTheme="minorEastAsia"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For this requirement for accepted development, the following are the relevant parts of AS 2419.1 (2005) that may be applicable:</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in regard to the form of any fire hydrant - Part 8.5 and Part 3.2.2.1, with the exception that for Tourist parks</w:t>
                  </w:r>
                  <w:r w:rsidRPr="0009358B">
                    <w:rPr>
                      <w:rFonts w:ascii="Arial" w:eastAsia="Times New Roman" w:hAnsi="Arial" w:cs="Arial"/>
                      <w:sz w:val="18"/>
                      <w:szCs w:val="20"/>
                      <w:vertAlign w:val="superscript"/>
                      <w:lang w:eastAsia="en-AU"/>
                    </w:rPr>
                    <w:t>(</w:t>
                  </w:r>
                  <w:hyperlink r:id="rId14"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9358B">
                      <w:rPr>
                        <w:rFonts w:ascii="Arial" w:eastAsia="Times New Roman" w:hAnsi="Arial" w:cs="Arial"/>
                        <w:color w:val="0000FF"/>
                        <w:sz w:val="18"/>
                        <w:szCs w:val="20"/>
                        <w:u w:val="single"/>
                        <w:vertAlign w:val="superscript"/>
                        <w:lang w:eastAsia="en-AU"/>
                      </w:rPr>
                      <w:t>84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the general locational requirements for fire hydrants - Part 3.2.2.2 (a), (e), (f), (g) and (h) as well as Appendix B of AS 2419.1 (2005);</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the proximity of hydrants to buildings and other facilities - Part 3.2.2.2 (b), (c) and (d), with the exception that:</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for dwellings and their associated outbuildings, hydrant coverage </w:t>
                  </w:r>
                  <w:r w:rsidRPr="0009358B">
                    <w:rPr>
                      <w:rFonts w:ascii="Arial" w:eastAsia="Times New Roman" w:hAnsi="Arial" w:cs="Arial"/>
                      <w:sz w:val="16"/>
                      <w:szCs w:val="20"/>
                      <w:lang w:eastAsia="en-AU"/>
                    </w:rPr>
                    <w:t xml:space="preserve">need </w:t>
                  </w:r>
                  <w:r w:rsidRPr="0009358B">
                    <w:rPr>
                      <w:rFonts w:ascii="Arial" w:eastAsia="Times New Roman" w:hAnsi="Arial" w:cs="Arial"/>
                      <w:sz w:val="18"/>
                      <w:szCs w:val="20"/>
                      <w:lang w:eastAsia="en-AU"/>
                    </w:rPr>
                    <w:t>only extend to the roof and external walls of those buildings;</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for caravans and tents, hydrant coverage need only extend to the roof of those tents and caravans;</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for outdoor sales</w:t>
                  </w:r>
                  <w:r w:rsidRPr="0009358B">
                    <w:rPr>
                      <w:rFonts w:ascii="Arial" w:eastAsia="Times New Roman" w:hAnsi="Arial" w:cs="Arial"/>
                      <w:sz w:val="18"/>
                      <w:szCs w:val="20"/>
                      <w:vertAlign w:val="superscript"/>
                      <w:lang w:eastAsia="en-AU"/>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9358B">
                      <w:rPr>
                        <w:rFonts w:ascii="Arial" w:eastAsia="Times New Roman" w:hAnsi="Arial" w:cs="Arial"/>
                        <w:color w:val="0000FF"/>
                        <w:sz w:val="18"/>
                        <w:szCs w:val="20"/>
                        <w:u w:val="single"/>
                        <w:vertAlign w:val="superscript"/>
                        <w:lang w:eastAsia="en-AU"/>
                      </w:rPr>
                      <w:t>54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processing or storage facilities, hydrant coverage is required across the entire area of the outdoor sales</w:t>
                  </w:r>
                  <w:r w:rsidRPr="0009358B">
                    <w:rPr>
                      <w:rFonts w:ascii="Arial" w:eastAsia="Times New Roman" w:hAnsi="Arial" w:cs="Arial"/>
                      <w:sz w:val="18"/>
                      <w:szCs w:val="20"/>
                      <w:vertAlign w:val="superscript"/>
                      <w:lang w:eastAsia="en-AU"/>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9358B">
                      <w:rPr>
                        <w:rFonts w:ascii="Arial" w:eastAsia="Times New Roman" w:hAnsi="Arial" w:cs="Arial"/>
                        <w:color w:val="0000FF"/>
                        <w:sz w:val="18"/>
                        <w:szCs w:val="20"/>
                        <w:u w:val="single"/>
                        <w:vertAlign w:val="superscript"/>
                        <w:lang w:eastAsia="en-AU"/>
                      </w:rPr>
                      <w:t>54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outdoor processing and outdoor storage facilities;</w:t>
                  </w:r>
                </w:p>
                <w:p w:rsidR="00392A79" w:rsidRPr="00392A79" w:rsidRDefault="00392A79" w:rsidP="00502327">
                  <w:pPr>
                    <w:numPr>
                      <w:ilvl w:val="0"/>
                      <w:numId w:val="41"/>
                    </w:numPr>
                    <w:spacing w:before="100" w:beforeAutospacing="1" w:after="100" w:afterAutospacing="1" w:line="240" w:lineRule="auto"/>
                    <w:rPr>
                      <w:rFonts w:ascii="Arial" w:eastAsia="Times New Roman" w:hAnsi="Arial" w:cs="Arial"/>
                      <w:sz w:val="20"/>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fire hydrant accessibility and clearance requirements - Part 3.5 and, where applicable, Part 3.6.</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 continuous path of travel having the following characteristics is provided between the vehicle access </w:t>
            </w:r>
            <w:r w:rsidRPr="00392A79">
              <w:rPr>
                <w:rFonts w:ascii="Arial" w:eastAsiaTheme="minorEastAsia" w:hAnsi="Arial" w:cs="Arial"/>
                <w:sz w:val="20"/>
                <w:szCs w:val="20"/>
                <w:lang w:eastAsia="en-AU"/>
              </w:rPr>
              <w:lastRenderedPageBreak/>
              <w:t>point to the site and each external fire hydrant and hydrant booster point on the land:</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unobstructed width of no less than 3.5m;</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unobstructed height of no less than 4.8m;</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constructed to be readily traversed by a 17 tonne HRV fire brigade pumping appliance;</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area for a fire brigade pumping appliance to stand within 20m of each fire hydrant and 8m of each hydrant booster point.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E57.3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On-site fire hydrant facilities are maintained in effective operating order in a manner prescribed in </w:t>
            </w:r>
            <w:r w:rsidRPr="00392A79">
              <w:rPr>
                <w:rFonts w:ascii="Arial" w:eastAsiaTheme="minorEastAsia" w:hAnsi="Arial" w:cs="Arial"/>
                <w:i/>
                <w:iCs/>
                <w:sz w:val="20"/>
                <w:szCs w:val="20"/>
                <w:lang w:eastAsia="en-AU"/>
              </w:rPr>
              <w:t>Australian Standard AS1851 (2012) – Routine service of fire protection systems and equipment</w:t>
            </w:r>
            <w:r w:rsidRPr="00392A79">
              <w:rPr>
                <w:rFonts w:ascii="Arial" w:eastAsiaTheme="minorEastAsia" w:hAnsi="Arial" w:cs="Arial"/>
                <w:sz w:val="20"/>
                <w:szCs w:val="20"/>
                <w:lang w:eastAsia="en-AU"/>
              </w:rPr>
              <w: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On-site fire hydrants that are external to buildings, as well as the available fire fighting appliance access routes to those hydrants, </w:t>
            </w:r>
            <w:proofErr w:type="gramStart"/>
            <w:r w:rsidRPr="00392A79">
              <w:rPr>
                <w:rFonts w:ascii="Arial" w:eastAsiaTheme="minorEastAsia" w:hAnsi="Arial" w:cs="Arial"/>
                <w:sz w:val="20"/>
                <w:szCs w:val="20"/>
                <w:lang w:eastAsia="en-AU"/>
              </w:rPr>
              <w:t>can be readily identified at all times</w:t>
            </w:r>
            <w:proofErr w:type="gramEnd"/>
            <w:r w:rsidRPr="00392A79">
              <w:rPr>
                <w:rFonts w:ascii="Arial" w:eastAsiaTheme="minorEastAsia" w:hAnsi="Arial" w:cs="Arial"/>
                <w:sz w:val="20"/>
                <w:szCs w:val="20"/>
                <w:lang w:eastAsia="en-AU"/>
              </w:rPr>
              <w:t xml:space="preserve"> from, or at, the vehicular entry point to the development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For development that contains on-site fire hydrants external to buildings:</w:t>
            </w:r>
          </w:p>
          <w:p w:rsidR="00392A79" w:rsidRPr="00392A79" w:rsidRDefault="00392A79" w:rsidP="00502327">
            <w:pPr>
              <w:numPr>
                <w:ilvl w:val="0"/>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those external hydrants can be seen from the vehicular entry point to the site; or</w:t>
            </w:r>
          </w:p>
          <w:p w:rsidR="00392A79" w:rsidRPr="00392A79" w:rsidRDefault="00392A79" w:rsidP="00502327">
            <w:pPr>
              <w:numPr>
                <w:ilvl w:val="0"/>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sign identifying the following is provided at the vehicular entry point to the site:</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overall layout of the development (to scale);</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internal road names (where used);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communal facilities (where provided);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reception area and on-site manager’s office (where provided);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external hydrants and hydrant booster points;</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physical constraints within the internal roadway system which would restrict access by fire fighting appliances to </w:t>
            </w:r>
            <w:r w:rsidRPr="00392A79">
              <w:rPr>
                <w:rFonts w:ascii="Arial" w:eastAsiaTheme="minorEastAsia" w:hAnsi="Arial" w:cs="Arial"/>
                <w:sz w:val="20"/>
                <w:szCs w:val="20"/>
                <w:lang w:eastAsia="en-AU"/>
              </w:rPr>
              <w:lastRenderedPageBreak/>
              <w:t>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sign prescribed above, and the graphics used are to be:</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in a form;</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of a size;</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illuminated to a level;</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which allows the information on the sign to be readily understood, </w:t>
                  </w:r>
                  <w:proofErr w:type="gramStart"/>
                  <w:r w:rsidRPr="0009358B">
                    <w:rPr>
                      <w:rFonts w:ascii="Arial" w:eastAsiaTheme="minorEastAsia" w:hAnsi="Arial" w:cs="Arial"/>
                      <w:sz w:val="18"/>
                      <w:szCs w:val="20"/>
                      <w:lang w:eastAsia="en-AU"/>
                    </w:rPr>
                    <w:t>at all times</w:t>
                  </w:r>
                  <w:proofErr w:type="gramEnd"/>
                  <w:r w:rsidRPr="0009358B">
                    <w:rPr>
                      <w:rFonts w:ascii="Arial" w:eastAsiaTheme="minorEastAsia" w:hAnsi="Arial" w:cs="Arial"/>
                      <w:sz w:val="18"/>
                      <w:szCs w:val="20"/>
                      <w:lang w:eastAsia="en-AU"/>
                    </w:rPr>
                    <w:t>, by a person in a fire fighting appliance up to 4.5m from the 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Each on-site fire hydrant that is external to a building is signposted in a way that </w:t>
            </w:r>
            <w:proofErr w:type="gramStart"/>
            <w:r w:rsidRPr="00392A79">
              <w:rPr>
                <w:rFonts w:ascii="Arial" w:eastAsiaTheme="minorEastAsia" w:hAnsi="Arial" w:cs="Arial"/>
                <w:sz w:val="20"/>
                <w:szCs w:val="20"/>
                <w:lang w:eastAsia="en-AU"/>
              </w:rPr>
              <w:t>enables it to be readily identified at all times</w:t>
            </w:r>
            <w:proofErr w:type="gramEnd"/>
            <w:r w:rsidRPr="00392A79">
              <w:rPr>
                <w:rFonts w:ascii="Arial" w:eastAsiaTheme="minorEastAsia" w:hAnsi="Arial" w:cs="Arial"/>
                <w:sz w:val="20"/>
                <w:szCs w:val="20"/>
                <w:lang w:eastAsia="en-AU"/>
              </w:rPr>
              <w:t xml:space="preserve"> by the occupants of any firefighting appliance traversing the development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92A79">
              <w:rPr>
                <w:rFonts w:ascii="Arial" w:eastAsiaTheme="minorEastAsia" w:hAnsi="Arial" w:cs="Arial"/>
                <w:i/>
                <w:iCs/>
                <w:sz w:val="20"/>
                <w:szCs w:val="20"/>
                <w:lang w:eastAsia="en-AU"/>
              </w:rPr>
              <w:t>Fire hydrant indication system</w:t>
            </w:r>
            <w:r w:rsidRPr="00392A79">
              <w:rPr>
                <w:rFonts w:ascii="Arial" w:eastAsiaTheme="minorEastAsia" w:hAnsi="Arial" w:cs="Arial"/>
                <w:sz w:val="20"/>
                <w:szCs w:val="20"/>
                <w:lang w:eastAsia="en-AU"/>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Technical note Fire hydrant indication system is available on the website of the Queensland Department of Transport and Main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Use specific criteria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392A79" w:rsidRPr="00392A79" w:rsidTr="005D01EC">
        <w:trPr>
          <w:trHeight w:val="300"/>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Caretaker's accommodation</w:t>
            </w:r>
            <w:r w:rsidRPr="00392A79">
              <w:rPr>
                <w:rFonts w:ascii="Arial" w:eastAsiaTheme="minorEastAsia" w:hAnsi="Arial" w:cs="Arial"/>
                <w:sz w:val="20"/>
                <w:szCs w:val="20"/>
                <w:vertAlign w:val="superscript"/>
                <w:lang w:eastAsia="en-AU"/>
              </w:rPr>
              <w:t>(</w:t>
            </w:r>
            <w:hyperlink r:id="rId17"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14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jc w:val="both"/>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With the exception of caretaker's accommodation</w:t>
            </w:r>
            <w:r w:rsidRPr="00392A79">
              <w:rPr>
                <w:rFonts w:ascii="Arial" w:eastAsiaTheme="minorEastAsia" w:hAnsi="Arial" w:cs="Arial"/>
                <w:sz w:val="20"/>
                <w:szCs w:val="20"/>
                <w:vertAlign w:val="superscript"/>
                <w:lang w:eastAsia="en-AU"/>
              </w:rPr>
              <w:t>(</w:t>
            </w:r>
            <w:hyperlink r:id="rId18"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residential and other sensitive land uses do not establish within the Specialised centre sub-precinct.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of caretaker's accommodation</w:t>
            </w:r>
            <w:r w:rsidRPr="00392A79">
              <w:rPr>
                <w:rFonts w:ascii="Arial" w:eastAsiaTheme="minorEastAsia" w:hAnsi="Arial" w:cs="Arial"/>
                <w:sz w:val="20"/>
                <w:szCs w:val="20"/>
                <w:vertAlign w:val="superscript"/>
                <w:lang w:eastAsia="en-AU"/>
              </w:rPr>
              <w:t>(</w:t>
            </w:r>
            <w:hyperlink r:id="rId19"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does not compromise the productivity of the use occurring on-site and in the surrounding area;</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domestic in scale;</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adequate car parking provisions exclusive of the primary use of the site;</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safe for the residents;</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has regard to the open space and recreation needs of the residents.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Caretaker's accommodation</w:t>
            </w:r>
            <w:r w:rsidRPr="00392A79">
              <w:rPr>
                <w:rFonts w:ascii="Arial" w:eastAsiaTheme="minorEastAsia" w:hAnsi="Arial" w:cs="Arial"/>
                <w:sz w:val="20"/>
                <w:szCs w:val="20"/>
                <w:vertAlign w:val="superscript"/>
                <w:lang w:eastAsia="en-AU"/>
              </w:rPr>
              <w:t>(</w:t>
            </w:r>
            <w:hyperlink r:id="rId20"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has a maximum GFA of 80m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gain access from a separate driveway to that of the industrial use;</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a minimum 16m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of private open space directly accessible from a habitable room;</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car parking in accordance with the car parking rates table.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Major electricity infrastructure, Substation and Utility installation</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does not have an adverse impact on the visual amenity of a locality and is:</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high quality design and construction;</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visually integrated with the surrounding area;</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visually dominant or intrusive;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located behind the main building line;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below the level of the predominant tree canopy or the level of the surrounding buildings and structures;</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camouflaged </w:t>
            </w:r>
            <w:proofErr w:type="gramStart"/>
            <w:r w:rsidRPr="00392A79">
              <w:rPr>
                <w:rFonts w:ascii="Arial" w:eastAsia="Times New Roman" w:hAnsi="Arial" w:cs="Arial"/>
                <w:sz w:val="20"/>
                <w:szCs w:val="20"/>
                <w:lang w:eastAsia="en-AU"/>
              </w:rPr>
              <w:t>through the use of</w:t>
            </w:r>
            <w:proofErr w:type="gramEnd"/>
            <w:r w:rsidRPr="00392A79">
              <w:rPr>
                <w:rFonts w:ascii="Arial" w:eastAsia="Times New Roman" w:hAnsi="Arial" w:cs="Arial"/>
                <w:sz w:val="20"/>
                <w:szCs w:val="20"/>
                <w:lang w:eastAsia="en-AU"/>
              </w:rPr>
              <w:t xml:space="preserve"> colours and materials which blend into the landscape;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treated to eliminate glare and reflectivity;</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landscaped;</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otherwise consistent with the amenity and character of the zone and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minimise surrounding land use conflicts by ensuring infrastructure, buildings, structures and other equipment:</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enclosed within buildings or structures;</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located behind the main building line;</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have a similar height, bulk and scale to the surrounding fabric;</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have horizontal and vertical articulation applied to all exterior walls.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minimum 3m wide strip of dense planting is provided around the outside of the fenced area, between the development and street frontage, side and rear boundaries.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Infrastructure does not have an impact on pedestrian health and safety.</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control arrangements:</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create dead-ends or dark alleyways adjacent to the infrastructure;</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 the number and width of crossovers and entry points;</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provide safe vehicular access to the site;</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utilise barbed wire or razor wire.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60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activities associated with the development occur within an environment incorporating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controls to ensure the facility:</w:t>
            </w:r>
          </w:p>
          <w:p w:rsidR="00392A79" w:rsidRPr="00392A79" w:rsidRDefault="00392A79" w:rsidP="00502327">
            <w:pPr>
              <w:numPr>
                <w:ilvl w:val="0"/>
                <w:numId w:val="5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generates no audible sound at the site boundaries where in a residential setting; or</w:t>
            </w:r>
          </w:p>
          <w:p w:rsidR="00392A79" w:rsidRPr="00392A79" w:rsidRDefault="00392A79" w:rsidP="00502327">
            <w:pPr>
              <w:numPr>
                <w:ilvl w:val="0"/>
                <w:numId w:val="5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meet the objectives as set out in the Environmental Protection (Noise) Policy 2008.</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equipment which produces audible or non-audible sound is housed within a fully enclosed building incorporating sound control measures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to ensure noise emissions meet the objectives as set out in the Environmental Protection (Noise) Policy 2008.</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5D01EC" w:rsidRPr="00392A79" w:rsidTr="005D01E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D01EC" w:rsidRPr="00392A79" w:rsidRDefault="005D01EC"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Telecommunications facility</w:t>
            </w:r>
            <w:r w:rsidRPr="00392A79">
              <w:rPr>
                <w:rFonts w:ascii="Arial" w:eastAsiaTheme="minorEastAsia" w:hAnsi="Arial" w:cs="Arial"/>
                <w:color w:val="000000"/>
                <w:sz w:val="20"/>
                <w:szCs w:val="20"/>
                <w:vertAlign w:val="superscript"/>
                <w:lang w:eastAsia="en-AU"/>
              </w:rPr>
              <w:t>(</w:t>
            </w:r>
            <w:hyperlink r:id="rId21"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D01EC" w:rsidRPr="00392A79" w:rsidTr="00392A79">
              <w:trPr>
                <w:tblCellSpacing w:w="15" w:type="dxa"/>
              </w:trPr>
              <w:tc>
                <w:tcPr>
                  <w:tcW w:w="14944" w:type="dxa"/>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1C4FD9">
                    <w:rPr>
                      <w:rFonts w:ascii="Arial" w:eastAsiaTheme="minorEastAsia" w:hAnsi="Arial" w:cs="Arial"/>
                      <w:sz w:val="18"/>
                      <w:szCs w:val="18"/>
                      <w:lang w:eastAsia="en-AU"/>
                    </w:rPr>
                    <w:t xml:space="preserve">Editor's note - In accordance with the Federal legislation Telecommunications facilities </w:t>
                  </w:r>
                  <w:r w:rsidRPr="001C4FD9">
                    <w:rPr>
                      <w:rFonts w:ascii="Arial" w:eastAsiaTheme="minorEastAsia" w:hAnsi="Arial" w:cs="Arial"/>
                      <w:sz w:val="18"/>
                      <w:szCs w:val="18"/>
                      <w:vertAlign w:val="superscript"/>
                      <w:lang w:eastAsia="en-AU"/>
                    </w:rPr>
                    <w:t>(</w:t>
                  </w:r>
                  <w:hyperlink r:id="rId22" w:anchor="target-d768251e572444" w:tooltip="Telecommunications facility - Premises used for systems that carry communications and signals by means of radio, including guided or unguided electromagnetic energy, whether such facility is manned or remotely controlled." w:history="1">
                    <w:r w:rsidRPr="001C4FD9">
                      <w:rPr>
                        <w:rFonts w:ascii="Arial" w:eastAsiaTheme="minorEastAsia" w:hAnsi="Arial" w:cs="Arial"/>
                        <w:color w:val="0000FF"/>
                        <w:sz w:val="18"/>
                        <w:szCs w:val="18"/>
                        <w:u w:val="single"/>
                        <w:vertAlign w:val="superscript"/>
                        <w:lang w:eastAsia="en-AU"/>
                      </w:rPr>
                      <w:t>81</w:t>
                    </w:r>
                  </w:hyperlink>
                  <w:r w:rsidRPr="001C4FD9">
                    <w:rPr>
                      <w:rFonts w:ascii="Arial" w:eastAsiaTheme="minorEastAsia" w:hAnsi="Arial" w:cs="Arial"/>
                      <w:sz w:val="18"/>
                      <w:szCs w:val="18"/>
                      <w:vertAlign w:val="superscript"/>
                      <w:lang w:eastAsia="en-AU"/>
                    </w:rPr>
                    <w:t>)</w:t>
                  </w:r>
                  <w:r w:rsidRPr="001C4FD9">
                    <w:rPr>
                      <w:rFonts w:ascii="Arial" w:eastAsiaTheme="minorEastAsia" w:hAnsi="Arial" w:cs="Arial"/>
                      <w:sz w:val="18"/>
                      <w:szCs w:val="18"/>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5D01EC" w:rsidRPr="00392A79" w:rsidRDefault="005D01EC"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Telecommunications facilities</w:t>
            </w:r>
            <w:r w:rsidRPr="00392A79">
              <w:rPr>
                <w:rFonts w:ascii="Arial" w:eastAsiaTheme="minorEastAsia" w:hAnsi="Arial" w:cs="Arial"/>
                <w:sz w:val="20"/>
                <w:szCs w:val="20"/>
                <w:vertAlign w:val="superscript"/>
                <w:lang w:eastAsia="en-AU"/>
              </w:rPr>
              <w:t>(</w:t>
            </w:r>
            <w:hyperlink r:id="rId23"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are co-located with existing telecommunications facilities</w:t>
            </w:r>
            <w:r w:rsidRPr="00392A79">
              <w:rPr>
                <w:rFonts w:ascii="Arial" w:eastAsiaTheme="minorEastAsia" w:hAnsi="Arial" w:cs="Arial"/>
                <w:sz w:val="20"/>
                <w:szCs w:val="20"/>
                <w:vertAlign w:val="superscript"/>
                <w:lang w:eastAsia="en-AU"/>
              </w:rPr>
              <w:t>(</w:t>
            </w:r>
            <w:hyperlink r:id="rId24"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Utility installation</w:t>
            </w:r>
            <w:r w:rsidRPr="00392A79">
              <w:rPr>
                <w:rFonts w:ascii="Arial" w:eastAsiaTheme="minorEastAsia" w:hAnsi="Arial" w:cs="Arial"/>
                <w:sz w:val="20"/>
                <w:szCs w:val="20"/>
                <w:vertAlign w:val="superscript"/>
                <w:lang w:eastAsia="en-AU"/>
              </w:rPr>
              <w:t>(</w:t>
            </w:r>
            <w:hyperlink r:id="rId25" w:anchor="target-d768251e572573" w:tooltip="Utility installation - Premises used to provide the public with the following services:" w:history="1">
              <w:r w:rsidRPr="00392A79">
                <w:rPr>
                  <w:rFonts w:ascii="Arial" w:eastAsiaTheme="minorEastAsia" w:hAnsi="Arial" w:cs="Arial"/>
                  <w:color w:val="0000FF"/>
                  <w:sz w:val="20"/>
                  <w:szCs w:val="20"/>
                  <w:u w:val="single"/>
                  <w:vertAlign w:val="superscript"/>
                  <w:lang w:eastAsia="en-AU"/>
                </w:rPr>
                <w:t>86</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Major electricity infrastructure</w:t>
            </w:r>
            <w:r w:rsidRPr="00392A79">
              <w:rPr>
                <w:rFonts w:ascii="Arial" w:eastAsiaTheme="minorEastAsia" w:hAnsi="Arial" w:cs="Arial"/>
                <w:sz w:val="20"/>
                <w:szCs w:val="20"/>
                <w:vertAlign w:val="superscript"/>
                <w:lang w:eastAsia="en-AU"/>
              </w:rPr>
              <w:t>(</w:t>
            </w:r>
            <w:hyperlink r:id="rId2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392A79">
                <w:rPr>
                  <w:rFonts w:ascii="Arial" w:eastAsiaTheme="minorEastAsia" w:hAnsi="Arial" w:cs="Arial"/>
                  <w:color w:val="0000FF"/>
                  <w:sz w:val="20"/>
                  <w:szCs w:val="20"/>
                  <w:u w:val="single"/>
                  <w:vertAlign w:val="superscript"/>
                  <w:lang w:eastAsia="en-AU"/>
                </w:rPr>
                <w:t>43</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or Substation</w:t>
            </w:r>
            <w:r w:rsidRPr="00392A79">
              <w:rPr>
                <w:rFonts w:ascii="Arial" w:eastAsiaTheme="minorEastAsia" w:hAnsi="Arial" w:cs="Arial"/>
                <w:sz w:val="20"/>
                <w:szCs w:val="20"/>
                <w:vertAlign w:val="superscript"/>
                <w:lang w:eastAsia="en-AU"/>
              </w:rPr>
              <w:t>(</w:t>
            </w:r>
            <w:hyperlink r:id="rId27" w:anchor="target-d768251e572400" w:tooltip="Substation - Premises forming part of a transmission grid or supply network under the Electricity Act 1994, and used for:" w:history="1">
              <w:r w:rsidRPr="00392A79">
                <w:rPr>
                  <w:rFonts w:ascii="Arial" w:eastAsiaTheme="minorEastAsia" w:hAnsi="Arial" w:cs="Arial"/>
                  <w:color w:val="0000FF"/>
                  <w:sz w:val="20"/>
                  <w:szCs w:val="20"/>
                  <w:u w:val="single"/>
                  <w:vertAlign w:val="superscript"/>
                  <w:lang w:eastAsia="en-AU"/>
                </w:rPr>
                <w:t>80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if there is already a facility in the same coverage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telecommunication facilities</w:t>
            </w:r>
            <w:r w:rsidRPr="00392A79">
              <w:rPr>
                <w:rFonts w:ascii="Arial" w:eastAsiaTheme="minorEastAsia" w:hAnsi="Arial" w:cs="Arial"/>
                <w:sz w:val="20"/>
                <w:szCs w:val="20"/>
                <w:vertAlign w:val="superscript"/>
                <w:lang w:eastAsia="en-AU"/>
              </w:rPr>
              <w:t>(</w:t>
            </w:r>
            <w:hyperlink r:id="rId2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are co-located on existing towers with new equipment shelter and associated structures positioned adjacent to the existing shelters and structures.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If not co-located with an existing facility, all co-location opportunities have been investigated and fully exhausted within a 2km radius of the site.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new Telecommunications facility</w:t>
            </w:r>
            <w:r w:rsidRPr="00392A79">
              <w:rPr>
                <w:rFonts w:ascii="Arial" w:eastAsiaTheme="minorEastAsia" w:hAnsi="Arial" w:cs="Arial"/>
                <w:sz w:val="20"/>
                <w:szCs w:val="20"/>
                <w:vertAlign w:val="superscript"/>
                <w:lang w:eastAsia="en-AU"/>
              </w:rPr>
              <w:t>(</w:t>
            </w:r>
            <w:hyperlink r:id="rId2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is designed and constructed to ensure co-masting or co-siting with other carriers both on the tower or pole and at ground level is possible in the future.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minimum area of 45m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is available to allow for additional equipment shelters and associated structures for the purpose of co-locating on the proposed facility.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PO67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Telecommunications facilities</w:t>
            </w:r>
            <w:r w:rsidRPr="00392A79">
              <w:rPr>
                <w:rFonts w:ascii="Arial" w:eastAsiaTheme="minorEastAsia" w:hAnsi="Arial" w:cs="Arial"/>
                <w:sz w:val="20"/>
                <w:szCs w:val="20"/>
                <w:vertAlign w:val="superscript"/>
                <w:lang w:eastAsia="en-AU"/>
              </w:rPr>
              <w:t>(</w:t>
            </w:r>
            <w:hyperlink r:id="rId30"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do not conflict with lawful existing land uses both on and adjoining the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28"/>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Telecommunications facility</w:t>
            </w:r>
            <w:r w:rsidRPr="00392A79">
              <w:rPr>
                <w:rFonts w:ascii="Arial" w:eastAsiaTheme="minorEastAsia" w:hAnsi="Arial" w:cs="Arial"/>
                <w:sz w:val="20"/>
                <w:szCs w:val="20"/>
                <w:vertAlign w:val="superscript"/>
                <w:lang w:eastAsia="en-AU"/>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does not have an adverse impact on the visual amenity of a locality and is:</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high quality design and construction;</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visually integrated with the surrounding area;</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visually dominant or intrusive;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located behind the main building line;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below the level of the predominant tree canopy or the level of the surrounding buildings and structures;</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camouflaged </w:t>
            </w:r>
            <w:proofErr w:type="gramStart"/>
            <w:r w:rsidRPr="00392A79">
              <w:rPr>
                <w:rFonts w:ascii="Arial" w:eastAsia="Times New Roman" w:hAnsi="Arial" w:cs="Arial"/>
                <w:sz w:val="20"/>
                <w:szCs w:val="20"/>
                <w:lang w:eastAsia="en-AU"/>
              </w:rPr>
              <w:t>through the use of</w:t>
            </w:r>
            <w:proofErr w:type="gramEnd"/>
            <w:r w:rsidRPr="00392A79">
              <w:rPr>
                <w:rFonts w:ascii="Arial" w:eastAsia="Times New Roman" w:hAnsi="Arial" w:cs="Arial"/>
                <w:sz w:val="20"/>
                <w:szCs w:val="20"/>
                <w:lang w:eastAsia="en-AU"/>
              </w:rPr>
              <w:t xml:space="preserve"> colours and materials which blend into the landscape;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treated to eliminate glare and reflectivity;</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landscaped;</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otherwise consistent with the amenity and character of the zone and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Where in an urban area, the development does not protrude more than 5m above the level of the existing </w:t>
            </w:r>
            <w:proofErr w:type="spellStart"/>
            <w:r w:rsidRPr="00392A79">
              <w:rPr>
                <w:rFonts w:ascii="Arial" w:eastAsiaTheme="minorEastAsia" w:hAnsi="Arial" w:cs="Arial"/>
                <w:sz w:val="20"/>
                <w:szCs w:val="20"/>
                <w:lang w:eastAsia="en-AU"/>
              </w:rPr>
              <w:t>treeline</w:t>
            </w:r>
            <w:proofErr w:type="spellEnd"/>
            <w:r w:rsidRPr="00392A79">
              <w:rPr>
                <w:rFonts w:ascii="Arial" w:eastAsiaTheme="minorEastAsia" w:hAnsi="Arial" w:cs="Arial"/>
                <w:sz w:val="20"/>
                <w:szCs w:val="20"/>
                <w:lang w:eastAsia="en-AU"/>
              </w:rPr>
              <w:t>, prominent ridgeline or building rooftops in the surrounding townscape.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969"/>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In all other </w:t>
            </w:r>
            <w:proofErr w:type="gramStart"/>
            <w:r w:rsidRPr="00392A79">
              <w:rPr>
                <w:rFonts w:ascii="Arial" w:eastAsiaTheme="minorEastAsia" w:hAnsi="Arial" w:cs="Arial"/>
                <w:sz w:val="20"/>
                <w:szCs w:val="20"/>
                <w:lang w:eastAsia="en-AU"/>
              </w:rPr>
              <w:t>areas</w:t>
            </w:r>
            <w:proofErr w:type="gramEnd"/>
            <w:r w:rsidRPr="00392A79">
              <w:rPr>
                <w:rFonts w:ascii="Arial" w:eastAsiaTheme="minorEastAsia" w:hAnsi="Arial" w:cs="Arial"/>
                <w:sz w:val="20"/>
                <w:szCs w:val="20"/>
                <w:lang w:eastAsia="en-AU"/>
              </w:rPr>
              <w:t xml:space="preserve"> towers do not exceed 35m in height.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Towers, equipment </w:t>
            </w:r>
            <w:proofErr w:type="gramStart"/>
            <w:r w:rsidRPr="00392A79">
              <w:rPr>
                <w:rFonts w:ascii="Arial" w:eastAsiaTheme="minorEastAsia" w:hAnsi="Arial" w:cs="Arial"/>
                <w:sz w:val="20"/>
                <w:szCs w:val="20"/>
                <w:lang w:eastAsia="en-AU"/>
              </w:rPr>
              <w:t>shelters</w:t>
            </w:r>
            <w:proofErr w:type="gramEnd"/>
            <w:r w:rsidRPr="00392A79">
              <w:rPr>
                <w:rFonts w:ascii="Arial" w:eastAsiaTheme="minorEastAsia" w:hAnsi="Arial" w:cs="Arial"/>
                <w:sz w:val="20"/>
                <w:szCs w:val="20"/>
                <w:lang w:eastAsia="en-AU"/>
              </w:rPr>
              <w:t xml:space="preserve"> and associated structures are of a design, colour and material to:</w:t>
            </w:r>
          </w:p>
          <w:p w:rsidR="00392A79" w:rsidRPr="00392A79" w:rsidRDefault="00392A79" w:rsidP="00502327">
            <w:pPr>
              <w:numPr>
                <w:ilvl w:val="0"/>
                <w:numId w:val="5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reduce recognition in the landscape;</w:t>
            </w:r>
          </w:p>
          <w:p w:rsidR="00392A79" w:rsidRPr="00392A79" w:rsidRDefault="00392A79" w:rsidP="00502327">
            <w:pPr>
              <w:numPr>
                <w:ilvl w:val="0"/>
                <w:numId w:val="5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reduce glare and reflectivity.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there is no established building line the facility is located at the rear of the site.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facility is enclosed by security fencing or by other means to ensure public access is prohibited.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Landscaping is provided in accordance with Planning scheme policy - Integrated design.</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Council may require a detailed landscaping plan, prepared by a suitably qualified person, to ensure compliance with Planning scheme policy - Integrated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Lawful access </w:t>
            </w:r>
            <w:proofErr w:type="gramStart"/>
            <w:r w:rsidRPr="00392A79">
              <w:rPr>
                <w:rFonts w:ascii="Arial" w:eastAsiaTheme="minorEastAsia" w:hAnsi="Arial" w:cs="Arial"/>
                <w:sz w:val="20"/>
                <w:szCs w:val="20"/>
                <w:lang w:eastAsia="en-AU"/>
              </w:rPr>
              <w:t>is maintained to the site at all times</w:t>
            </w:r>
            <w:proofErr w:type="gramEnd"/>
            <w:r w:rsidRPr="00392A79">
              <w:rPr>
                <w:rFonts w:ascii="Arial" w:eastAsiaTheme="minorEastAsia" w:hAnsi="Arial" w:cs="Arial"/>
                <w:sz w:val="20"/>
                <w:szCs w:val="20"/>
                <w:lang w:eastAsia="en-AU"/>
              </w:rPr>
              <w:t xml:space="preserve"> that does not alter the amenity of the landscape or surrounding uses.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An Access and Landscape Plan demonstrates how </w:t>
            </w:r>
            <w:proofErr w:type="gramStart"/>
            <w:r w:rsidRPr="00392A79">
              <w:rPr>
                <w:rFonts w:ascii="Arial" w:eastAsiaTheme="minorEastAsia" w:hAnsi="Arial" w:cs="Arial"/>
                <w:sz w:val="20"/>
                <w:szCs w:val="20"/>
                <w:lang w:eastAsia="en-AU"/>
              </w:rPr>
              <w:t>24 hour</w:t>
            </w:r>
            <w:proofErr w:type="gramEnd"/>
            <w:r w:rsidRPr="00392A79">
              <w:rPr>
                <w:rFonts w:ascii="Arial" w:eastAsiaTheme="minorEastAsia" w:hAnsi="Arial" w:cs="Arial"/>
                <w:sz w:val="20"/>
                <w:szCs w:val="20"/>
                <w:lang w:eastAsia="en-AU"/>
              </w:rPr>
              <w:t xml:space="preserve"> vehicular access will be obtained and maintained to the facility in a manner that is appropriate to the site’s context.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3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activities associated with the development occur within an environment incorporating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controls to ensure the facility generates no audible sound at the site boundaries where in a residential setting.</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equipment comprising the Telecommunications facility</w:t>
            </w:r>
            <w:r w:rsidRPr="00392A79">
              <w:rPr>
                <w:rFonts w:ascii="Arial" w:eastAsiaTheme="minorEastAsia" w:hAnsi="Arial" w:cs="Arial"/>
                <w:sz w:val="20"/>
                <w:szCs w:val="20"/>
                <w:vertAlign w:val="superscript"/>
                <w:lang w:eastAsia="en-AU"/>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09358B" w:rsidRPr="00392A79" w:rsidTr="0009358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9358B" w:rsidRPr="00392A79" w:rsidRDefault="0009358B"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9358B" w:rsidRPr="00392A79" w:rsidTr="00392A79">
              <w:trPr>
                <w:tblCellSpacing w:w="15" w:type="dxa"/>
              </w:trPr>
              <w:tc>
                <w:tcPr>
                  <w:tcW w:w="14944" w:type="dxa"/>
                  <w:shd w:val="clear" w:color="auto" w:fill="CCCCCC"/>
                  <w:vAlign w:val="center"/>
                  <w:hideMark/>
                </w:tcPr>
                <w:p w:rsidR="0009358B" w:rsidRPr="00392A79" w:rsidRDefault="0009358B" w:rsidP="00392A79">
                  <w:pPr>
                    <w:spacing w:before="100" w:beforeAutospacing="1" w:after="100" w:afterAutospacing="1" w:line="240" w:lineRule="auto"/>
                    <w:rPr>
                      <w:rFonts w:ascii="Arial" w:eastAsiaTheme="minorEastAsia" w:hAnsi="Arial" w:cs="Arial"/>
                      <w:sz w:val="20"/>
                      <w:szCs w:val="20"/>
                      <w:lang w:eastAsia="en-AU"/>
                    </w:rPr>
                  </w:pPr>
                  <w:r w:rsidRPr="005D01EC">
                    <w:rPr>
                      <w:rFonts w:ascii="Arial" w:eastAsiaTheme="minorEastAsia" w:hAnsi="Arial" w:cs="Arial"/>
                      <w:sz w:val="18"/>
                      <w:szCs w:val="18"/>
                      <w:lang w:eastAsia="en-AU"/>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9358B" w:rsidRPr="00392A79" w:rsidRDefault="0009358B"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09358B" w:rsidRPr="00392A79" w:rsidTr="0009358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9358B" w:rsidRPr="00392A79" w:rsidRDefault="0009358B"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9358B" w:rsidRPr="00392A79" w:rsidTr="00392A79">
              <w:trPr>
                <w:tblCellSpacing w:w="15" w:type="dxa"/>
              </w:trPr>
              <w:tc>
                <w:tcPr>
                  <w:tcW w:w="14944" w:type="dxa"/>
                  <w:shd w:val="clear" w:color="auto" w:fill="CCCCCC"/>
                  <w:vAlign w:val="center"/>
                  <w:hideMark/>
                </w:tcPr>
                <w:p w:rsidR="0009358B" w:rsidRPr="005D01EC" w:rsidRDefault="0009358B" w:rsidP="00392A79">
                  <w:pPr>
                    <w:spacing w:before="100" w:beforeAutospacing="1" w:after="100" w:afterAutospacing="1" w:line="240" w:lineRule="auto"/>
                    <w:rPr>
                      <w:rFonts w:ascii="Arial" w:eastAsiaTheme="minorEastAsia" w:hAnsi="Arial" w:cs="Arial"/>
                      <w:sz w:val="18"/>
                      <w:szCs w:val="18"/>
                      <w:lang w:eastAsia="en-AU"/>
                    </w:rPr>
                  </w:pPr>
                  <w:r w:rsidRPr="005D01EC">
                    <w:rPr>
                      <w:rFonts w:ascii="Arial" w:eastAsiaTheme="minorEastAsia" w:hAnsi="Arial" w:cs="Arial"/>
                      <w:sz w:val="18"/>
                      <w:szCs w:val="18"/>
                      <w:lang w:eastAsia="en-AU"/>
                    </w:rPr>
                    <w:lastRenderedPageBreak/>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09358B" w:rsidRPr="005D01EC" w:rsidRDefault="0009358B" w:rsidP="0009358B">
                  <w:pPr>
                    <w:spacing w:after="0" w:line="240" w:lineRule="auto"/>
                    <w:rPr>
                      <w:rFonts w:ascii="Arial" w:eastAsiaTheme="minorEastAsia" w:hAnsi="Arial" w:cs="Arial"/>
                      <w:sz w:val="18"/>
                      <w:szCs w:val="18"/>
                      <w:lang w:eastAsia="en-AU"/>
                    </w:rPr>
                  </w:pPr>
                  <w:r w:rsidRPr="005D01EC">
                    <w:rPr>
                      <w:rFonts w:ascii="Arial" w:eastAsiaTheme="minorEastAsia"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09358B" w:rsidRPr="00392A79" w:rsidRDefault="0009358B" w:rsidP="0009358B">
                  <w:pPr>
                    <w:spacing w:after="0" w:line="240" w:lineRule="auto"/>
                    <w:rPr>
                      <w:rFonts w:ascii="Arial" w:eastAsiaTheme="minorEastAsia" w:hAnsi="Arial" w:cs="Arial"/>
                      <w:sz w:val="20"/>
                      <w:szCs w:val="20"/>
                      <w:lang w:eastAsia="en-AU"/>
                    </w:rPr>
                  </w:pPr>
                  <w:r w:rsidRPr="005D01EC">
                    <w:rPr>
                      <w:rFonts w:ascii="Arial" w:eastAsia="Times New Roman" w:hAnsi="Arial" w:cs="Arial"/>
                      <w:sz w:val="18"/>
                      <w:szCs w:val="18"/>
                      <w:lang w:eastAsia="en-AU"/>
                    </w:rPr>
                    <w:br/>
                  </w:r>
                  <w:r w:rsidRPr="005D01EC">
                    <w:rPr>
                      <w:rFonts w:ascii="Arial" w:eastAsiaTheme="minorEastAsia"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9358B" w:rsidRPr="00392A79" w:rsidRDefault="0009358B"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will:</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protect the fabric and setting of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 consistent with the form, scale and style of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utilise similar materials to those existing, or where this is not reasonable or practicable, neutral materials and finishes;</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incorporate complementary elements, detailing and ornamentation to those present on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retain public access where this is currently provided.</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09358B">
                    <w:rPr>
                      <w:rFonts w:ascii="Arial" w:eastAsia="Times New Roman" w:hAnsi="Arial" w:cs="Arial"/>
                      <w:sz w:val="18"/>
                      <w:szCs w:val="20"/>
                      <w:lang w:eastAsia="en-AU"/>
                    </w:rPr>
                    <w:t>to, and</w:t>
                  </w:r>
                  <w:proofErr w:type="gramEnd"/>
                  <w:r w:rsidRPr="0009358B">
                    <w:rPr>
                      <w:rFonts w:ascii="Arial" w:eastAsia="Times New Roman" w:hAnsi="Arial" w:cs="Arial"/>
                      <w:sz w:val="18"/>
                      <w:szCs w:val="20"/>
                      <w:lang w:eastAsia="en-AU"/>
                    </w:rPr>
                    <w:t xml:space="preserve"> approved by Council prior to the commencement of any preservation, maintenance, repair and restoration works.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Demolition and removal </w:t>
            </w:r>
            <w:proofErr w:type="gramStart"/>
            <w:r w:rsidRPr="00392A79">
              <w:rPr>
                <w:rFonts w:ascii="Arial" w:eastAsiaTheme="minorEastAsia" w:hAnsi="Arial" w:cs="Arial"/>
                <w:sz w:val="20"/>
                <w:szCs w:val="20"/>
                <w:lang w:eastAsia="en-AU"/>
              </w:rPr>
              <w:t>is</w:t>
            </w:r>
            <w:proofErr w:type="gramEnd"/>
            <w:r w:rsidRPr="00392A79">
              <w:rPr>
                <w:rFonts w:ascii="Arial" w:eastAsiaTheme="minorEastAsia" w:hAnsi="Arial" w:cs="Arial"/>
                <w:sz w:val="20"/>
                <w:szCs w:val="20"/>
                <w:lang w:eastAsia="en-AU"/>
              </w:rPr>
              <w:t xml:space="preserve"> only considered where:</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demolition is confined to the removal of outbuildings, extensions and alterations that are not part of the original structure;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limited demolition is performed </w:t>
            </w:r>
            <w:proofErr w:type="gramStart"/>
            <w:r w:rsidRPr="00392A79">
              <w:rPr>
                <w:rFonts w:ascii="Arial" w:eastAsia="Times New Roman" w:hAnsi="Arial" w:cs="Arial"/>
                <w:sz w:val="20"/>
                <w:szCs w:val="20"/>
                <w:lang w:eastAsia="en-AU"/>
              </w:rPr>
              <w:t>in the course of</w:t>
            </w:r>
            <w:proofErr w:type="gramEnd"/>
            <w:r w:rsidRPr="00392A79">
              <w:rPr>
                <w:rFonts w:ascii="Arial" w:eastAsia="Times New Roman" w:hAnsi="Arial" w:cs="Arial"/>
                <w:sz w:val="20"/>
                <w:szCs w:val="20"/>
                <w:lang w:eastAsia="en-AU"/>
              </w:rPr>
              <w:t xml:space="preserve"> repairs, maintenance or restoration;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demolition is performed following a catastrophic event which substantially destroys the building or object.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51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5D01EC" w:rsidRPr="00392A79" w:rsidTr="005D01E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D01EC" w:rsidRPr="00392A79" w:rsidTr="00392A79">
              <w:trPr>
                <w:tblCellSpacing w:w="15" w:type="dxa"/>
              </w:trPr>
              <w:tc>
                <w:tcPr>
                  <w:tcW w:w="14944" w:type="dxa"/>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5D01EC">
                    <w:rPr>
                      <w:rFonts w:ascii="Arial" w:eastAsiaTheme="minorEastAsia" w:hAnsi="Arial" w:cs="Arial"/>
                      <w:sz w:val="18"/>
                      <w:szCs w:val="18"/>
                      <w:lang w:eastAsia="en-AU"/>
                    </w:rPr>
                    <w:t>Note - The applicable river and creek flood planning levels associated with defined flood event (DFE) within the inundation area can be obtained by requesting a flood check property report from Council.</w:t>
                  </w:r>
                </w:p>
              </w:tc>
            </w:tr>
          </w:tbl>
          <w:p w:rsidR="005D01EC" w:rsidRPr="00392A79" w:rsidRDefault="005D01EC"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w:t>
            </w:r>
          </w:p>
          <w:p w:rsidR="00392A79" w:rsidRPr="00392A79" w:rsidRDefault="00392A79" w:rsidP="00502327">
            <w:pPr>
              <w:numPr>
                <w:ilvl w:val="0"/>
                <w:numId w:val="5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minimises the risk to persons from overland flow;</w:t>
            </w:r>
          </w:p>
          <w:p w:rsidR="00392A79" w:rsidRPr="00392A79" w:rsidRDefault="00392A79" w:rsidP="00502327">
            <w:pPr>
              <w:numPr>
                <w:ilvl w:val="0"/>
                <w:numId w:val="5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w:t>
            </w:r>
          </w:p>
          <w:p w:rsidR="00392A79" w:rsidRPr="00392A79" w:rsidRDefault="00392A79" w:rsidP="00502327">
            <w:pPr>
              <w:numPr>
                <w:ilvl w:val="0"/>
                <w:numId w:val="5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maintains the conveyance of overland flow predominantly unimpeded through the premises </w:t>
            </w:r>
            <w:r w:rsidRPr="00392A79">
              <w:rPr>
                <w:rFonts w:ascii="Arial" w:eastAsia="Times New Roman" w:hAnsi="Arial" w:cs="Arial"/>
                <w:sz w:val="20"/>
                <w:szCs w:val="20"/>
                <w:lang w:eastAsia="en-AU"/>
              </w:rPr>
              <w:lastRenderedPageBreak/>
              <w:t>for any event up to and including the 1% AEP for the fully developed upstream catchment;</w:t>
            </w:r>
          </w:p>
          <w:p w:rsidR="00392A79" w:rsidRPr="00392A79" w:rsidRDefault="00392A79" w:rsidP="00502327">
            <w:pPr>
              <w:numPr>
                <w:ilvl w:val="0"/>
                <w:numId w:val="5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9358B">
                    <w:rPr>
                      <w:rFonts w:ascii="Arial" w:eastAsia="Times New Roman" w:hAnsi="Arial" w:cs="Arial"/>
                      <w:sz w:val="18"/>
                      <w:szCs w:val="20"/>
                      <w:lang w:eastAsia="en-AU"/>
                    </w:rPr>
                    <w:t>upstream, downstream or surrounding premises</w:t>
                  </w:r>
                  <w:proofErr w:type="gramEnd"/>
                  <w:r w:rsidRPr="0009358B">
                    <w:rPr>
                      <w:rFonts w:ascii="Arial" w:eastAsia="Times New Roman" w:hAnsi="Arial" w:cs="Arial"/>
                      <w:sz w:val="18"/>
                      <w:szCs w:val="20"/>
                      <w:lang w:eastAsia="en-AU"/>
                    </w:rPr>
                    <w:t>.</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Reporting to be prepared in accordance with Planning scheme policy – Flood hazard, Coastal hazard and Overland flow.</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does not:</w:t>
            </w:r>
          </w:p>
          <w:p w:rsidR="00392A79" w:rsidRPr="00392A79" w:rsidRDefault="00392A79" w:rsidP="00502327">
            <w:pPr>
              <w:numPr>
                <w:ilvl w:val="0"/>
                <w:numId w:val="5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directly, indirectly or cumulatively cause any increase in overland flow velocity or level;</w:t>
            </w:r>
          </w:p>
          <w:p w:rsidR="00392A79" w:rsidRPr="00392A79" w:rsidRDefault="00392A79" w:rsidP="00502327">
            <w:pPr>
              <w:numPr>
                <w:ilvl w:val="0"/>
                <w:numId w:val="5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Open concrete drains greater than 1m in width are not an acceptable outcome, nor are any other design options that may increase scouring.</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w:t>
                  </w:r>
                  <w:r w:rsidRPr="0009358B">
                    <w:rPr>
                      <w:rFonts w:ascii="Arial" w:eastAsia="Times New Roman" w:hAnsi="Arial" w:cs="Arial"/>
                      <w:sz w:val="18"/>
                      <w:szCs w:val="20"/>
                      <w:lang w:eastAsia="en-AU"/>
                    </w:rPr>
                    <w:lastRenderedPageBreak/>
                    <w:t>related to the manufacture and storage of hazardous substances.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which is not in a Rural zone ensures that overland flow is not conveyed from a road or public open space onto a private lot.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which is not in a Rural zone that an overland flow paths and drainage infrastructure is provided to convey overland flow from a road or public open space area away from a private lot.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92A79">
              <w:rPr>
                <w:rFonts w:ascii="Arial" w:eastAsiaTheme="minorEastAsia" w:hAnsi="Arial" w:cs="Arial"/>
                <w:sz w:val="20"/>
                <w:szCs w:val="20"/>
                <w:lang w:eastAsia="en-AU"/>
              </w:rPr>
              <w:t>are able to</w:t>
            </w:r>
            <w:proofErr w:type="gramEnd"/>
            <w:r w:rsidRPr="00392A79">
              <w:rPr>
                <w:rFonts w:ascii="Arial" w:eastAsiaTheme="minorEastAsia" w:hAnsi="Arial" w:cs="Arial"/>
                <w:sz w:val="20"/>
                <w:szCs w:val="20"/>
                <w:lang w:eastAsia="en-AU"/>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9358B">
                    <w:rPr>
                      <w:rFonts w:ascii="Arial" w:eastAsia="Times New Roman" w:hAnsi="Arial" w:cs="Arial"/>
                      <w:sz w:val="18"/>
                      <w:szCs w:val="20"/>
                      <w:lang w:eastAsia="en-AU"/>
                    </w:rPr>
                    <w:t>upstream, downstream or surrounding premises</w:t>
                  </w:r>
                  <w:proofErr w:type="gramEnd"/>
                  <w:r w:rsidRPr="0009358B">
                    <w:rPr>
                      <w:rFonts w:ascii="Arial" w:eastAsia="Times New Roman" w:hAnsi="Arial" w:cs="Arial"/>
                      <w:sz w:val="18"/>
                      <w:szCs w:val="20"/>
                      <w:lang w:eastAsia="en-AU"/>
                    </w:rPr>
                    <w:t>.</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Reporting to be prepared in accordance with Planning scheme policy – Flood hazard, Coastal hazard and Overland flow</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E79.1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roof and allotment drainage infrastructure is provided in accordance with the following relevant level as identified in QUDM:</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Urban area – Level III;</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Rural area – N/A;</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Industrial area – Level V;</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Commercial area – Level V.</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90"/>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E79.2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inter-allotment drainage infrastructure is designed to accommodate any event up to and including the 1% AEP for the fully developed upstream catchment.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4138"/>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PO80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protects the conveyance of overland flow such that an easement for drainage purposes is provided over:</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stormwater pipe if the nominal pipe diameter exceeds 300mm;</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 overland flow path where it crosses more than one premises;</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Stormwater Drainage easement dimensions are provided in accordance with Section 3.8.5 of QUDM.</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Additional criteria for development for a Park</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for a Park</w:t>
            </w:r>
            <w:r w:rsidRPr="00392A79">
              <w:rPr>
                <w:rFonts w:ascii="Arial" w:eastAsiaTheme="minorEastAsia" w:hAnsi="Arial" w:cs="Arial"/>
                <w:sz w:val="20"/>
                <w:szCs w:val="20"/>
                <w:vertAlign w:val="superscript"/>
                <w:lang w:eastAsia="en-AU"/>
              </w:rPr>
              <w:t>(</w:t>
            </w:r>
            <w:hyperlink r:id="rId3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92A79">
                <w:rPr>
                  <w:rFonts w:ascii="Arial" w:eastAsiaTheme="minorEastAsia" w:hAnsi="Arial" w:cs="Arial"/>
                  <w:color w:val="0000FF"/>
                  <w:sz w:val="20"/>
                  <w:szCs w:val="20"/>
                  <w:u w:val="single"/>
                  <w:vertAlign w:val="superscript"/>
                  <w:lang w:eastAsia="en-AU"/>
                </w:rPr>
                <w:t>57</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ensures that the design and layout responds to the nature of the overland flow affecting the premises such that:</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public benefit and enjoyment </w:t>
            </w:r>
            <w:proofErr w:type="gramStart"/>
            <w:r w:rsidRPr="00392A79">
              <w:rPr>
                <w:rFonts w:ascii="Arial" w:eastAsiaTheme="minorEastAsia" w:hAnsi="Arial" w:cs="Arial"/>
                <w:sz w:val="20"/>
                <w:szCs w:val="20"/>
                <w:lang w:eastAsia="en-AU"/>
              </w:rPr>
              <w:t>is</w:t>
            </w:r>
            <w:proofErr w:type="gramEnd"/>
            <w:r w:rsidRPr="00392A79">
              <w:rPr>
                <w:rFonts w:ascii="Arial" w:eastAsiaTheme="minorEastAsia" w:hAnsi="Arial" w:cs="Arial"/>
                <w:sz w:val="20"/>
                <w:szCs w:val="20"/>
                <w:lang w:eastAsia="en-AU"/>
              </w:rPr>
              <w:t xml:space="preserve"> maximised;</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impacts on the asset life and integrity of park structures is minimised;</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maintenance and replacement costs are minimised.</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for a Park</w:t>
            </w:r>
            <w:r w:rsidRPr="00392A79">
              <w:rPr>
                <w:rFonts w:ascii="Arial" w:eastAsiaTheme="minorEastAsia" w:hAnsi="Arial" w:cs="Arial"/>
                <w:sz w:val="20"/>
                <w:szCs w:val="20"/>
                <w:vertAlign w:val="superscript"/>
                <w:lang w:eastAsia="en-AU"/>
              </w:rPr>
              <w:t>(</w:t>
            </w:r>
            <w:hyperlink r:id="rId3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92A79">
                <w:rPr>
                  <w:rFonts w:ascii="Arial" w:eastAsiaTheme="minorEastAsia" w:hAnsi="Arial" w:cs="Arial"/>
                  <w:color w:val="0000FF"/>
                  <w:sz w:val="20"/>
                  <w:szCs w:val="20"/>
                  <w:u w:val="single"/>
                  <w:vertAlign w:val="superscript"/>
                  <w:lang w:eastAsia="en-AU"/>
                </w:rPr>
                <w:t>57</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ensures works are provided in accordance with the requirements set out in Appendix B of the Planning scheme policy - Integrated design.</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5D01EC" w:rsidRPr="00392A79" w:rsidTr="005D01EC">
        <w:trPr>
          <w:trHeight w:val="374"/>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b/>
                <w:bCs/>
                <w:sz w:val="20"/>
                <w:szCs w:val="20"/>
                <w:lang w:eastAsia="en-AU"/>
              </w:rPr>
            </w:pPr>
            <w:r w:rsidRPr="00392A79">
              <w:rPr>
                <w:rFonts w:ascii="Arial" w:eastAsiaTheme="minorEastAsia" w:hAnsi="Arial" w:cs="Arial"/>
                <w:b/>
                <w:bCs/>
                <w:sz w:val="20"/>
                <w:szCs w:val="20"/>
                <w:lang w:eastAsia="en-AU"/>
              </w:rPr>
              <w:t>Infrastructure buffers (refer Overlay map - Infrastructure buffers to determine if the following assessment criteria apply)</w:t>
            </w: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within a High voltage electricity line buffer:</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is located and designed to avoid any potential adverse impacts on personal health and wellbeing from electromagnetic fields;</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located and designed in a manner that maintains a high level of security of supply;</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located and designed so not to impede upon the functioning and maintenance of high voltage electrical infrastructure.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Except where located on an approved Neighbourhood development plan, development does not involve the </w:t>
            </w:r>
            <w:r w:rsidRPr="00392A79">
              <w:rPr>
                <w:rFonts w:ascii="Arial" w:eastAsiaTheme="minorEastAsia" w:hAnsi="Arial" w:cs="Arial"/>
                <w:sz w:val="20"/>
                <w:szCs w:val="20"/>
                <w:lang w:eastAsia="en-AU"/>
              </w:rPr>
              <w:lastRenderedPageBreak/>
              <w:t>construction of any buildings or structures within a high voltage electricity line buffer.</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bl>
    <w:p w:rsidR="0085280F" w:rsidRPr="00392A79" w:rsidRDefault="0085280F">
      <w:pPr>
        <w:rPr>
          <w:rFonts w:ascii="Arial" w:hAnsi="Arial" w:cs="Arial"/>
          <w:sz w:val="20"/>
          <w:szCs w:val="20"/>
        </w:rPr>
      </w:pPr>
      <w:bookmarkStart w:id="0" w:name="_GoBack"/>
      <w:bookmarkEnd w:id="0"/>
    </w:p>
    <w:sectPr w:rsidR="0085280F" w:rsidRPr="00392A79" w:rsidSect="00392A79">
      <w:footerReference w:type="defaul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B10" w:rsidRDefault="003E5B10" w:rsidP="00BD7990">
      <w:pPr>
        <w:spacing w:after="0" w:line="240" w:lineRule="auto"/>
      </w:pPr>
      <w:r>
        <w:separator/>
      </w:r>
    </w:p>
  </w:endnote>
  <w:endnote w:type="continuationSeparator" w:id="0">
    <w:p w:rsidR="003E5B10" w:rsidRDefault="003E5B10" w:rsidP="00BD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Pr="00BD7990" w:rsidRDefault="003E5B10" w:rsidP="00BD7990">
    <w:pPr>
      <w:pStyle w:val="Footer"/>
    </w:pPr>
    <w:r w:rsidRPr="00BD7990">
      <w:rPr>
        <w:i/>
      </w:rPr>
      <w:t>MBRC Planning Scheme V</w:t>
    </w:r>
    <w:r w:rsidR="00650A05">
      <w:rPr>
        <w:i/>
      </w:rPr>
      <w:t>ersion 6</w:t>
    </w:r>
    <w:r w:rsidRPr="00BD7990">
      <w:rPr>
        <w:i/>
      </w:rPr>
      <w:t xml:space="preserve"> - Caboolture West local plan - Town centre precinct - </w:t>
    </w:r>
    <w:r>
      <w:rPr>
        <w:i/>
      </w:rPr>
      <w:t>Specialised centre</w:t>
    </w:r>
    <w:r w:rsidRPr="00BD7990">
      <w:rPr>
        <w:i/>
      </w:rPr>
      <w:t xml:space="preserve"> sub-precinct - Assessable </w:t>
    </w:r>
    <w:r w:rsidRPr="00BD7990">
      <w:rPr>
        <w:i/>
      </w:rPr>
      <w:tab/>
    </w:r>
    <w:r w:rsidRPr="00BD7990">
      <w:rPr>
        <w:i/>
      </w:rPr>
      <w:tab/>
    </w:r>
    <w:r w:rsidRPr="00BD7990">
      <w:rPr>
        <w:i/>
      </w:rPr>
      <w:tab/>
    </w:r>
    <w:r w:rsidRPr="00BD7990">
      <w:rPr>
        <w:i/>
      </w:rPr>
      <w:tab/>
    </w:r>
    <w:r w:rsidRPr="00BD7990">
      <w:rPr>
        <w:i/>
      </w:rPr>
      <w:tab/>
    </w:r>
    <w:r w:rsidRPr="00BD7990">
      <w:rPr>
        <w:i/>
      </w:rPr>
      <w:fldChar w:fldCharType="begin"/>
    </w:r>
    <w:r w:rsidRPr="00BD7990">
      <w:rPr>
        <w:i/>
      </w:rPr>
      <w:instrText xml:space="preserve"> PAGE   \* MERGEFORMAT </w:instrText>
    </w:r>
    <w:r w:rsidRPr="00BD7990">
      <w:rPr>
        <w:i/>
      </w:rPr>
      <w:fldChar w:fldCharType="separate"/>
    </w:r>
    <w:r w:rsidRPr="00BD7990">
      <w:rPr>
        <w:i/>
      </w:rPr>
      <w:t>1</w:t>
    </w:r>
    <w:r w:rsidRPr="00BD7990">
      <w:fldChar w:fldCharType="end"/>
    </w:r>
  </w:p>
  <w:p w:rsidR="003E5B10" w:rsidRDefault="003E5B10">
    <w:pPr>
      <w:pStyle w:val="Footer"/>
    </w:pPr>
  </w:p>
  <w:p w:rsidR="003E5B10" w:rsidRDefault="003E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B10" w:rsidRDefault="003E5B10" w:rsidP="00BD7990">
      <w:pPr>
        <w:spacing w:after="0" w:line="240" w:lineRule="auto"/>
      </w:pPr>
      <w:r>
        <w:separator/>
      </w:r>
    </w:p>
  </w:footnote>
  <w:footnote w:type="continuationSeparator" w:id="0">
    <w:p w:rsidR="003E5B10" w:rsidRDefault="003E5B10" w:rsidP="00BD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9B8"/>
    <w:multiLevelType w:val="multilevel"/>
    <w:tmpl w:val="969C4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D6ADF"/>
    <w:multiLevelType w:val="multilevel"/>
    <w:tmpl w:val="79BA4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CB68E5"/>
    <w:multiLevelType w:val="multilevel"/>
    <w:tmpl w:val="A97A2C9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D13973"/>
    <w:multiLevelType w:val="multilevel"/>
    <w:tmpl w:val="6D6AD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144708"/>
    <w:multiLevelType w:val="multilevel"/>
    <w:tmpl w:val="82BE3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0D7C1C"/>
    <w:multiLevelType w:val="multilevel"/>
    <w:tmpl w:val="0E8C6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09045D"/>
    <w:multiLevelType w:val="multilevel"/>
    <w:tmpl w:val="28104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BC4F65"/>
    <w:multiLevelType w:val="multilevel"/>
    <w:tmpl w:val="1598E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CA640A"/>
    <w:multiLevelType w:val="multilevel"/>
    <w:tmpl w:val="4386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612F48"/>
    <w:multiLevelType w:val="multilevel"/>
    <w:tmpl w:val="2C24D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E200B3"/>
    <w:multiLevelType w:val="multilevel"/>
    <w:tmpl w:val="E2DEF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5A39D0"/>
    <w:multiLevelType w:val="multilevel"/>
    <w:tmpl w:val="491C2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E4730E"/>
    <w:multiLevelType w:val="multilevel"/>
    <w:tmpl w:val="4C9EB7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4D0A46"/>
    <w:multiLevelType w:val="multilevel"/>
    <w:tmpl w:val="BB94C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9E5BFB"/>
    <w:multiLevelType w:val="multilevel"/>
    <w:tmpl w:val="CA26B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2F0BCF"/>
    <w:multiLevelType w:val="multilevel"/>
    <w:tmpl w:val="7E586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926CF3"/>
    <w:multiLevelType w:val="multilevel"/>
    <w:tmpl w:val="D2906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F14260"/>
    <w:multiLevelType w:val="multilevel"/>
    <w:tmpl w:val="560A15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137D18"/>
    <w:multiLevelType w:val="multilevel"/>
    <w:tmpl w:val="97260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9B0BB6"/>
    <w:multiLevelType w:val="multilevel"/>
    <w:tmpl w:val="EAF43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E9032D"/>
    <w:multiLevelType w:val="multilevel"/>
    <w:tmpl w:val="0A0CC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F9E7625"/>
    <w:multiLevelType w:val="multilevel"/>
    <w:tmpl w:val="9AD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54ADA"/>
    <w:multiLevelType w:val="multilevel"/>
    <w:tmpl w:val="829AB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5D736C9"/>
    <w:multiLevelType w:val="multilevel"/>
    <w:tmpl w:val="06E61B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7125B6"/>
    <w:multiLevelType w:val="multilevel"/>
    <w:tmpl w:val="EA36B3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7354E1"/>
    <w:multiLevelType w:val="multilevel"/>
    <w:tmpl w:val="03DECB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94C4DA7"/>
    <w:multiLevelType w:val="multilevel"/>
    <w:tmpl w:val="A8EC0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AAA5CFC"/>
    <w:multiLevelType w:val="multilevel"/>
    <w:tmpl w:val="F350DD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252430"/>
    <w:multiLevelType w:val="multilevel"/>
    <w:tmpl w:val="01C2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53800"/>
    <w:multiLevelType w:val="multilevel"/>
    <w:tmpl w:val="47341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77778F"/>
    <w:multiLevelType w:val="multilevel"/>
    <w:tmpl w:val="E3526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46B0EB3"/>
    <w:multiLevelType w:val="multilevel"/>
    <w:tmpl w:val="52E24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E84CC6"/>
    <w:multiLevelType w:val="multilevel"/>
    <w:tmpl w:val="06B6C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86455DE"/>
    <w:multiLevelType w:val="multilevel"/>
    <w:tmpl w:val="DAFA5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665844"/>
    <w:multiLevelType w:val="multilevel"/>
    <w:tmpl w:val="DC4E4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DB56DCF"/>
    <w:multiLevelType w:val="multilevel"/>
    <w:tmpl w:val="F27AB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F6F1544"/>
    <w:multiLevelType w:val="multilevel"/>
    <w:tmpl w:val="0C36D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090D0C"/>
    <w:multiLevelType w:val="multilevel"/>
    <w:tmpl w:val="674A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1A5B2D"/>
    <w:multiLevelType w:val="multilevel"/>
    <w:tmpl w:val="13949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5D336A8"/>
    <w:multiLevelType w:val="multilevel"/>
    <w:tmpl w:val="1BE0A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60D70B4"/>
    <w:multiLevelType w:val="multilevel"/>
    <w:tmpl w:val="F712F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AFB16A2"/>
    <w:multiLevelType w:val="multilevel"/>
    <w:tmpl w:val="0526F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D8D32F8"/>
    <w:multiLevelType w:val="multilevel"/>
    <w:tmpl w:val="31CCC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AB04BA"/>
    <w:multiLevelType w:val="multilevel"/>
    <w:tmpl w:val="1C5AE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A801E6"/>
    <w:multiLevelType w:val="multilevel"/>
    <w:tmpl w:val="1DBAC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FF62712"/>
    <w:multiLevelType w:val="multilevel"/>
    <w:tmpl w:val="3CACE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00E4AFE"/>
    <w:multiLevelType w:val="multilevel"/>
    <w:tmpl w:val="65946D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1FA067F"/>
    <w:multiLevelType w:val="multilevel"/>
    <w:tmpl w:val="CFD6C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3CA0BC3"/>
    <w:multiLevelType w:val="multilevel"/>
    <w:tmpl w:val="E76CB6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80B45B0"/>
    <w:multiLevelType w:val="multilevel"/>
    <w:tmpl w:val="471A4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9AA66B4"/>
    <w:multiLevelType w:val="multilevel"/>
    <w:tmpl w:val="CC5A3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6E6946"/>
    <w:multiLevelType w:val="multilevel"/>
    <w:tmpl w:val="FCC60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A63647"/>
    <w:multiLevelType w:val="multilevel"/>
    <w:tmpl w:val="02E0B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F542F4B"/>
    <w:multiLevelType w:val="multilevel"/>
    <w:tmpl w:val="16481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F793CC9"/>
    <w:multiLevelType w:val="multilevel"/>
    <w:tmpl w:val="431CD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B466DF"/>
    <w:multiLevelType w:val="multilevel"/>
    <w:tmpl w:val="96780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6AC7824"/>
    <w:multiLevelType w:val="multilevel"/>
    <w:tmpl w:val="84205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6E879EB"/>
    <w:multiLevelType w:val="multilevel"/>
    <w:tmpl w:val="ED56B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9A45E8C"/>
    <w:multiLevelType w:val="multilevel"/>
    <w:tmpl w:val="B5E0D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CBC7F3C"/>
    <w:multiLevelType w:val="multilevel"/>
    <w:tmpl w:val="DB40E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F3615D5"/>
    <w:multiLevelType w:val="multilevel"/>
    <w:tmpl w:val="5E94E4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1"/>
  </w:num>
  <w:num w:numId="2">
    <w:abstractNumId w:val="49"/>
  </w:num>
  <w:num w:numId="3">
    <w:abstractNumId w:val="45"/>
  </w:num>
  <w:num w:numId="4">
    <w:abstractNumId w:val="34"/>
  </w:num>
  <w:num w:numId="5">
    <w:abstractNumId w:val="14"/>
  </w:num>
  <w:num w:numId="6">
    <w:abstractNumId w:val="0"/>
  </w:num>
  <w:num w:numId="7">
    <w:abstractNumId w:val="52"/>
  </w:num>
  <w:num w:numId="8">
    <w:abstractNumId w:val="9"/>
  </w:num>
  <w:num w:numId="9">
    <w:abstractNumId w:val="40"/>
  </w:num>
  <w:num w:numId="10">
    <w:abstractNumId w:val="4"/>
  </w:num>
  <w:num w:numId="11">
    <w:abstractNumId w:val="3"/>
  </w:num>
  <w:num w:numId="12">
    <w:abstractNumId w:val="30"/>
  </w:num>
  <w:num w:numId="13">
    <w:abstractNumId w:val="46"/>
  </w:num>
  <w:num w:numId="14">
    <w:abstractNumId w:val="10"/>
  </w:num>
  <w:num w:numId="15">
    <w:abstractNumId w:val="33"/>
  </w:num>
  <w:num w:numId="16">
    <w:abstractNumId w:val="12"/>
  </w:num>
  <w:num w:numId="17">
    <w:abstractNumId w:val="13"/>
  </w:num>
  <w:num w:numId="18">
    <w:abstractNumId w:val="37"/>
  </w:num>
  <w:num w:numId="19">
    <w:abstractNumId w:val="28"/>
  </w:num>
  <w:num w:numId="20">
    <w:abstractNumId w:val="25"/>
  </w:num>
  <w:num w:numId="21">
    <w:abstractNumId w:val="21"/>
  </w:num>
  <w:num w:numId="22">
    <w:abstractNumId w:val="23"/>
  </w:num>
  <w:num w:numId="23">
    <w:abstractNumId w:val="59"/>
  </w:num>
  <w:num w:numId="24">
    <w:abstractNumId w:val="22"/>
  </w:num>
  <w:num w:numId="25">
    <w:abstractNumId w:val="29"/>
  </w:num>
  <w:num w:numId="26">
    <w:abstractNumId w:val="7"/>
  </w:num>
  <w:num w:numId="27">
    <w:abstractNumId w:val="20"/>
  </w:num>
  <w:num w:numId="28">
    <w:abstractNumId w:val="32"/>
  </w:num>
  <w:num w:numId="29">
    <w:abstractNumId w:val="19"/>
  </w:num>
  <w:num w:numId="30">
    <w:abstractNumId w:val="39"/>
  </w:num>
  <w:num w:numId="31">
    <w:abstractNumId w:val="8"/>
  </w:num>
  <w:num w:numId="32">
    <w:abstractNumId w:val="36"/>
  </w:num>
  <w:num w:numId="33">
    <w:abstractNumId w:val="55"/>
  </w:num>
  <w:num w:numId="34">
    <w:abstractNumId w:val="43"/>
  </w:num>
  <w:num w:numId="35">
    <w:abstractNumId w:val="24"/>
  </w:num>
  <w:num w:numId="36">
    <w:abstractNumId w:val="53"/>
  </w:num>
  <w:num w:numId="37">
    <w:abstractNumId w:val="48"/>
  </w:num>
  <w:num w:numId="38">
    <w:abstractNumId w:val="27"/>
  </w:num>
  <w:num w:numId="39">
    <w:abstractNumId w:val="2"/>
  </w:num>
  <w:num w:numId="40">
    <w:abstractNumId w:val="26"/>
  </w:num>
  <w:num w:numId="41">
    <w:abstractNumId w:val="60"/>
  </w:num>
  <w:num w:numId="42">
    <w:abstractNumId w:val="47"/>
  </w:num>
  <w:num w:numId="43">
    <w:abstractNumId w:val="17"/>
  </w:num>
  <w:num w:numId="44">
    <w:abstractNumId w:val="18"/>
  </w:num>
  <w:num w:numId="45">
    <w:abstractNumId w:val="1"/>
  </w:num>
  <w:num w:numId="46">
    <w:abstractNumId w:val="11"/>
  </w:num>
  <w:num w:numId="47">
    <w:abstractNumId w:val="58"/>
  </w:num>
  <w:num w:numId="48">
    <w:abstractNumId w:val="50"/>
  </w:num>
  <w:num w:numId="49">
    <w:abstractNumId w:val="44"/>
  </w:num>
  <w:num w:numId="50">
    <w:abstractNumId w:val="5"/>
  </w:num>
  <w:num w:numId="51">
    <w:abstractNumId w:val="42"/>
  </w:num>
  <w:num w:numId="52">
    <w:abstractNumId w:val="54"/>
  </w:num>
  <w:num w:numId="53">
    <w:abstractNumId w:val="38"/>
  </w:num>
  <w:num w:numId="54">
    <w:abstractNumId w:val="15"/>
  </w:num>
  <w:num w:numId="55">
    <w:abstractNumId w:val="31"/>
  </w:num>
  <w:num w:numId="56">
    <w:abstractNumId w:val="16"/>
  </w:num>
  <w:num w:numId="57">
    <w:abstractNumId w:val="56"/>
  </w:num>
  <w:num w:numId="58">
    <w:abstractNumId w:val="35"/>
  </w:num>
  <w:num w:numId="59">
    <w:abstractNumId w:val="41"/>
  </w:num>
  <w:num w:numId="60">
    <w:abstractNumId w:val="6"/>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9"/>
    <w:rsid w:val="0009358B"/>
    <w:rsid w:val="0016443B"/>
    <w:rsid w:val="001C4FD9"/>
    <w:rsid w:val="00392A79"/>
    <w:rsid w:val="003E5B10"/>
    <w:rsid w:val="00502327"/>
    <w:rsid w:val="005D01EC"/>
    <w:rsid w:val="00650A05"/>
    <w:rsid w:val="0085280F"/>
    <w:rsid w:val="00955DC1"/>
    <w:rsid w:val="00BD7990"/>
    <w:rsid w:val="00E91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E3C2"/>
  <w15:chartTrackingRefBased/>
  <w15:docId w15:val="{929BD8E7-9CB5-4D0C-86C4-52C01182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A7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92A79"/>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92A79"/>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92A7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92A79"/>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92A79"/>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79"/>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92A79"/>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92A79"/>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92A79"/>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92A79"/>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92A79"/>
    <w:rPr>
      <w:rFonts w:ascii="Times New Roman" w:eastAsiaTheme="minorEastAsia" w:hAnsi="Times New Roman" w:cs="Times New Roman"/>
      <w:b/>
      <w:bCs/>
      <w:sz w:val="15"/>
      <w:szCs w:val="15"/>
      <w:lang w:eastAsia="en-AU"/>
    </w:rPr>
  </w:style>
  <w:style w:type="numbering" w:customStyle="1" w:styleId="NoList1">
    <w:name w:val="No List1"/>
    <w:next w:val="NoList"/>
    <w:uiPriority w:val="99"/>
    <w:semiHidden/>
    <w:unhideWhenUsed/>
    <w:rsid w:val="00392A79"/>
  </w:style>
  <w:style w:type="paragraph" w:customStyle="1" w:styleId="msonormal0">
    <w:name w:val="msonormal"/>
    <w:basedOn w:val="Normal"/>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392A79"/>
    <w:rPr>
      <w:color w:val="0000FF"/>
      <w:u w:val="single"/>
    </w:rPr>
  </w:style>
  <w:style w:type="character" w:styleId="FollowedHyperlink">
    <w:name w:val="FollowedHyperlink"/>
    <w:basedOn w:val="DefaultParagraphFont"/>
    <w:uiPriority w:val="99"/>
    <w:semiHidden/>
    <w:unhideWhenUsed/>
    <w:rsid w:val="00392A79"/>
    <w:rPr>
      <w:color w:val="800080"/>
      <w:u w:val="single"/>
    </w:rPr>
  </w:style>
  <w:style w:type="paragraph" w:customStyle="1" w:styleId="hidden">
    <w:name w:val="hidden"/>
    <w:basedOn w:val="Normal"/>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92A79"/>
    <w:rPr>
      <w:b/>
      <w:bCs/>
    </w:rPr>
  </w:style>
  <w:style w:type="character" w:customStyle="1" w:styleId="number">
    <w:name w:val="number"/>
    <w:basedOn w:val="DefaultParagraphFont"/>
    <w:rsid w:val="00392A79"/>
  </w:style>
  <w:style w:type="character" w:customStyle="1" w:styleId="newwindow">
    <w:name w:val="newwindow"/>
    <w:basedOn w:val="DefaultParagraphFont"/>
    <w:rsid w:val="00392A79"/>
  </w:style>
  <w:style w:type="character" w:styleId="Emphasis">
    <w:name w:val="Emphasis"/>
    <w:basedOn w:val="DefaultParagraphFont"/>
    <w:uiPriority w:val="20"/>
    <w:qFormat/>
    <w:rsid w:val="00392A79"/>
    <w:rPr>
      <w:i/>
      <w:iCs/>
    </w:rPr>
  </w:style>
  <w:style w:type="character" w:customStyle="1" w:styleId="highlighttext">
    <w:name w:val="highlighttext"/>
    <w:basedOn w:val="DefaultParagraphFont"/>
    <w:rsid w:val="00392A79"/>
  </w:style>
  <w:style w:type="character" w:customStyle="1" w:styleId="highlightbackground">
    <w:name w:val="highlightbackground"/>
    <w:basedOn w:val="DefaultParagraphFont"/>
    <w:rsid w:val="00392A79"/>
  </w:style>
  <w:style w:type="paragraph" w:styleId="BalloonText">
    <w:name w:val="Balloon Text"/>
    <w:basedOn w:val="Normal"/>
    <w:link w:val="BalloonTextChar"/>
    <w:uiPriority w:val="99"/>
    <w:semiHidden/>
    <w:unhideWhenUsed/>
    <w:rsid w:val="00392A79"/>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92A79"/>
    <w:rPr>
      <w:rFonts w:ascii="Segoe UI" w:eastAsiaTheme="minorEastAsia" w:hAnsi="Segoe UI" w:cs="Segoe UI"/>
      <w:sz w:val="18"/>
      <w:szCs w:val="18"/>
      <w:lang w:eastAsia="en-AU"/>
    </w:rPr>
  </w:style>
  <w:style w:type="paragraph" w:styleId="ListParagraph">
    <w:name w:val="List Paragraph"/>
    <w:basedOn w:val="Normal"/>
    <w:uiPriority w:val="34"/>
    <w:qFormat/>
    <w:rsid w:val="0009358B"/>
    <w:pPr>
      <w:ind w:left="720"/>
      <w:contextualSpacing/>
    </w:pPr>
  </w:style>
  <w:style w:type="paragraph" w:styleId="Header">
    <w:name w:val="header"/>
    <w:basedOn w:val="Normal"/>
    <w:link w:val="HeaderChar"/>
    <w:uiPriority w:val="99"/>
    <w:unhideWhenUsed/>
    <w:rsid w:val="00BD7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90"/>
  </w:style>
  <w:style w:type="paragraph" w:styleId="Footer">
    <w:name w:val="footer"/>
    <w:basedOn w:val="Normal"/>
    <w:link w:val="FooterChar"/>
    <w:uiPriority w:val="99"/>
    <w:unhideWhenUsed/>
    <w:rsid w:val="00BD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45</Pages>
  <Words>11268</Words>
  <Characters>64230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2019-12-11T01:17:00Z</dcterms:created>
  <dcterms:modified xsi:type="dcterms:W3CDTF">2021-11-11T02:46:00Z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A19465795</vt:lpwstr>
  </property>
  <property fmtid="{D5CDD505-2E9C-101B-9397-08002B2CF9AE}" pid="4" name="Objective-Title">
    <vt:lpwstr>7.2.3.2.9 Specialised centre sub-precinct - Assessable - UPDATED</vt:lpwstr>
  </property>
  <property fmtid="{D5CDD505-2E9C-101B-9397-08002B2CF9AE}" pid="5" name="Objective-Comment">
    <vt:lpwstr/>
  </property>
  <property fmtid="{D5CDD505-2E9C-101B-9397-08002B2CF9AE}" pid="6" name="Objective-CreationStamp">
    <vt:filetime>2019-12-12T03:00:42Z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2020-01-23T01:10:36Z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