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85"/>
        <w:gridCol w:w="6483"/>
        <w:gridCol w:w="1970"/>
        <w:gridCol w:w="2860"/>
      </w:tblGrid>
      <w:tr w:rsidR="007E10F1" w:rsidRPr="007E10F1" w:rsidTr="007E10F1">
        <w:trPr>
          <w:tblCellSpacing w:w="15" w:type="dxa"/>
        </w:trPr>
        <w:tc>
          <w:tcPr>
            <w:tcW w:w="4981" w:type="pct"/>
            <w:gridSpan w:val="4"/>
            <w:tcBorders>
              <w:top w:val="nil"/>
              <w:left w:val="nil"/>
              <w:bottom w:val="nil"/>
              <w:right w:val="nil"/>
            </w:tcBorders>
            <w:shd w:val="clear" w:color="auto" w:fill="CCCCCC"/>
            <w:vAlign w:val="center"/>
            <w:hideMark/>
          </w:tcPr>
          <w:p w:rsidR="007E10F1" w:rsidRPr="007E10F1" w:rsidRDefault="007E10F1" w:rsidP="007E10F1">
            <w:pPr>
              <w:jc w:val="center"/>
              <w:rPr>
                <w:rStyle w:val="Strong"/>
                <w:rFonts w:ascii="Arial" w:eastAsia="Times New Roman" w:hAnsi="Arial" w:cs="Arial"/>
                <w:sz w:val="20"/>
                <w:szCs w:val="20"/>
              </w:rPr>
            </w:pPr>
            <w:r w:rsidRPr="007E10F1">
              <w:rPr>
                <w:rStyle w:val="Strong"/>
                <w:rFonts w:ascii="Arial" w:eastAsia="Times New Roman" w:hAnsi="Arial" w:cs="Arial"/>
                <w:sz w:val="20"/>
                <w:szCs w:val="20"/>
              </w:rPr>
              <w:t>Table 9.3.2.3 Criteria for assessable development</w:t>
            </w: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Performance outcomes</w:t>
            </w:r>
          </w:p>
        </w:tc>
        <w:tc>
          <w:tcPr>
            <w:tcW w:w="2098" w:type="pct"/>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Examples that achieve aspects of the Performance Outcomes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spacing w:before="0" w:beforeAutospacing="0" w:after="0" w:afterAutospacing="0"/>
              <w:rPr>
                <w:rFonts w:ascii="Arial" w:hAnsi="Arial" w:cs="Arial"/>
                <w:b/>
                <w:bCs/>
                <w:sz w:val="20"/>
                <w:szCs w:val="20"/>
              </w:rPr>
            </w:pPr>
            <w:r w:rsidRPr="007E10F1">
              <w:rPr>
                <w:rFonts w:ascii="Arial" w:hAnsi="Arial" w:cs="Arial"/>
                <w:b/>
                <w:bCs/>
                <w:sz w:val="20"/>
                <w:szCs w:val="20"/>
              </w:rPr>
              <w:t>E Compliance</w:t>
            </w:r>
          </w:p>
          <w:p w:rsidR="007E10F1" w:rsidRPr="007E10F1" w:rsidRDefault="007E10F1" w:rsidP="007E10F1">
            <w:pPr>
              <w:pStyle w:val="NormalWeb"/>
              <w:numPr>
                <w:ilvl w:val="0"/>
                <w:numId w:val="41"/>
              </w:numPr>
              <w:spacing w:before="0" w:beforeAutospacing="0" w:after="0" w:afterAutospacing="0"/>
              <w:rPr>
                <w:rFonts w:ascii="Arial" w:hAnsi="Arial" w:cs="Arial"/>
                <w:b/>
                <w:bCs/>
                <w:sz w:val="20"/>
                <w:szCs w:val="20"/>
              </w:rPr>
            </w:pPr>
            <w:r w:rsidRPr="007E10F1">
              <w:rPr>
                <w:rFonts w:ascii="Arial" w:hAnsi="Arial" w:cs="Arial"/>
                <w:b/>
                <w:bCs/>
                <w:sz w:val="20"/>
                <w:szCs w:val="20"/>
              </w:rPr>
              <w:t>Yes</w:t>
            </w:r>
          </w:p>
          <w:p w:rsidR="007E10F1" w:rsidRPr="007E10F1" w:rsidRDefault="007E10F1" w:rsidP="007E10F1">
            <w:pPr>
              <w:pStyle w:val="NormalWeb"/>
              <w:numPr>
                <w:ilvl w:val="0"/>
                <w:numId w:val="41"/>
              </w:numPr>
              <w:spacing w:before="0" w:beforeAutospacing="0" w:after="0" w:afterAutospacing="0"/>
              <w:rPr>
                <w:rFonts w:ascii="Arial" w:hAnsi="Arial" w:cs="Arial"/>
                <w:b/>
                <w:bCs/>
                <w:sz w:val="20"/>
                <w:szCs w:val="20"/>
              </w:rPr>
            </w:pPr>
            <w:r w:rsidRPr="007E10F1">
              <w:rPr>
                <w:rFonts w:ascii="Arial" w:hAnsi="Arial" w:cs="Arial"/>
                <w:b/>
                <w:bCs/>
                <w:sz w:val="20"/>
                <w:szCs w:val="20"/>
              </w:rPr>
              <w:t>No See PO or</w:t>
            </w:r>
          </w:p>
          <w:p w:rsidR="007E10F1" w:rsidRPr="007E10F1" w:rsidRDefault="007E10F1" w:rsidP="007E10F1">
            <w:pPr>
              <w:pStyle w:val="NormalWeb"/>
              <w:numPr>
                <w:ilvl w:val="0"/>
                <w:numId w:val="41"/>
              </w:numPr>
              <w:spacing w:before="0" w:beforeAutospacing="0" w:after="0" w:afterAutospacing="0"/>
              <w:rPr>
                <w:rStyle w:val="Strong"/>
                <w:rFonts w:ascii="Arial" w:hAnsi="Arial" w:cs="Arial"/>
                <w:sz w:val="20"/>
                <w:szCs w:val="20"/>
              </w:rPr>
            </w:pPr>
            <w:r w:rsidRPr="007E10F1">
              <w:rPr>
                <w:rFonts w:ascii="Arial" w:hAnsi="Arial" w:cs="Arial"/>
                <w:b/>
                <w:bCs/>
                <w:sz w:val="20"/>
                <w:szCs w:val="20"/>
              </w:rPr>
              <w:t>NA</w:t>
            </w: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r w:rsidRPr="007E10F1">
              <w:rPr>
                <w:rFonts w:ascii="Arial" w:hAnsi="Arial" w:cs="Arial"/>
                <w:b/>
                <w:bCs/>
                <w:sz w:val="20"/>
                <w:szCs w:val="20"/>
              </w:rPr>
              <w:t>Justification for compliance</w:t>
            </w: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Site area</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735"/>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development is located on a lot which has an area and dimensions capable of accommodating a well-designed and integrated building and associated facilities incorporating:</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vehicle access, parking and manoeuvring areas;</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efficient and useable communal (for Rooming accommodation</w:t>
            </w:r>
            <w:r w:rsidRPr="007E10F1">
              <w:rPr>
                <w:rFonts w:ascii="Arial" w:hAnsi="Arial" w:cs="Arial"/>
                <w:sz w:val="20"/>
                <w:szCs w:val="20"/>
                <w:vertAlign w:val="superscript"/>
              </w:rPr>
              <w:t>(</w:t>
            </w:r>
            <w:hyperlink r:id="rId7"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xml:space="preserve"> or Retirement facility</w:t>
            </w:r>
            <w:r w:rsidRPr="007E10F1">
              <w:rPr>
                <w:rFonts w:ascii="Arial" w:hAnsi="Arial" w:cs="Arial"/>
                <w:sz w:val="20"/>
                <w:szCs w:val="20"/>
                <w:vertAlign w:val="superscript"/>
              </w:rPr>
              <w:t>(</w:t>
            </w:r>
            <w:hyperlink r:id="rId8"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and private open space areas;</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deep planting zones and landscaping;</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adequate buffering to adjacent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Private open space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provided with private open space that is:</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of a size and dimension that is useable and functional relative to the residential use (e.g. permanent or non-permanent);</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lastRenderedPageBreak/>
              <w:t>directly accessible from the dwelling;</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located to ensure residents of dwellings and neighbouring dwellings experience a high level of residential amenity;</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free of objects or structures that reduce or limit functionality (e.g. air conditioning units, hot water systems etc);</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where on the ground level , private and physically located away from and not adjacent to a road unless:</w:t>
            </w:r>
          </w:p>
          <w:p w:rsidR="007E10F1" w:rsidRPr="007E10F1" w:rsidRDefault="007E10F1" w:rsidP="006C517C">
            <w:pPr>
              <w:pStyle w:val="NormalWeb"/>
              <w:numPr>
                <w:ilvl w:val="1"/>
                <w:numId w:val="2"/>
              </w:numPr>
              <w:tabs>
                <w:tab w:val="clear" w:pos="1080"/>
              </w:tabs>
              <w:ind w:left="771" w:hanging="284"/>
              <w:rPr>
                <w:rFonts w:ascii="Arial" w:hAnsi="Arial" w:cs="Arial"/>
                <w:sz w:val="20"/>
                <w:szCs w:val="20"/>
              </w:rPr>
            </w:pPr>
            <w:r w:rsidRPr="007E10F1">
              <w:rPr>
                <w:rFonts w:ascii="Arial" w:hAnsi="Arial" w:cs="Arial"/>
                <w:sz w:val="20"/>
                <w:szCs w:val="20"/>
              </w:rPr>
              <w:t>adjoining a laneway or other public spaces;</w:t>
            </w:r>
            <w:r w:rsidRPr="007E10F1">
              <w:rPr>
                <w:rFonts w:ascii="Arial" w:hAnsi="Arial" w:cs="Arial"/>
                <w:sz w:val="20"/>
                <w:szCs w:val="20"/>
              </w:rPr>
              <w:br/>
              <w:t>OR</w:t>
            </w:r>
          </w:p>
          <w:p w:rsidR="007E10F1" w:rsidRPr="007E10F1" w:rsidRDefault="007E10F1" w:rsidP="006C517C">
            <w:pPr>
              <w:pStyle w:val="NormalWeb"/>
              <w:numPr>
                <w:ilvl w:val="1"/>
                <w:numId w:val="2"/>
              </w:numPr>
              <w:tabs>
                <w:tab w:val="clear" w:pos="1080"/>
              </w:tabs>
              <w:ind w:left="771" w:hanging="284"/>
              <w:rPr>
                <w:rFonts w:ascii="Arial" w:hAnsi="Arial" w:cs="Arial"/>
                <w:sz w:val="20"/>
                <w:szCs w:val="20"/>
              </w:rPr>
            </w:pPr>
            <w:r w:rsidRPr="007E10F1">
              <w:rPr>
                <w:rFonts w:ascii="Arial" w:hAnsi="Arial" w:cs="Arial"/>
                <w:sz w:val="20"/>
                <w:szCs w:val="20"/>
              </w:rPr>
              <w:t>for the purpose of solar optimisation (orientated to maximise the northerly aspect), adjoining an access street or an unconstructed road that is not intended to be constructed as a road; and</w:t>
            </w:r>
          </w:p>
          <w:p w:rsidR="007E10F1" w:rsidRPr="007E10F1" w:rsidRDefault="007E10F1" w:rsidP="006C517C">
            <w:pPr>
              <w:pStyle w:val="NormalWeb"/>
              <w:numPr>
                <w:ilvl w:val="2"/>
                <w:numId w:val="2"/>
              </w:numPr>
              <w:tabs>
                <w:tab w:val="clear" w:pos="1800"/>
              </w:tabs>
              <w:ind w:left="1054" w:hanging="425"/>
              <w:rPr>
                <w:rFonts w:ascii="Arial" w:hAnsi="Arial" w:cs="Arial"/>
                <w:sz w:val="20"/>
                <w:szCs w:val="20"/>
              </w:rPr>
            </w:pPr>
            <w:r w:rsidRPr="007E10F1">
              <w:rPr>
                <w:rFonts w:ascii="Arial" w:hAnsi="Arial" w:cs="Arial"/>
                <w:sz w:val="20"/>
                <w:szCs w:val="20"/>
              </w:rPr>
              <w:t>is designed to form part of the building (not an appendage to the building); and</w:t>
            </w:r>
          </w:p>
          <w:p w:rsidR="007E10F1" w:rsidRPr="007E10F1" w:rsidRDefault="007E10F1" w:rsidP="006C517C">
            <w:pPr>
              <w:pStyle w:val="NormalWeb"/>
              <w:numPr>
                <w:ilvl w:val="2"/>
                <w:numId w:val="2"/>
              </w:numPr>
              <w:tabs>
                <w:tab w:val="clear" w:pos="1800"/>
              </w:tabs>
              <w:spacing w:after="240" w:afterAutospacing="0"/>
              <w:ind w:left="1054" w:hanging="425"/>
              <w:rPr>
                <w:rFonts w:ascii="Arial" w:hAnsi="Arial" w:cs="Arial"/>
                <w:sz w:val="20"/>
                <w:szCs w:val="20"/>
              </w:rPr>
            </w:pPr>
            <w:r w:rsidRPr="007E10F1">
              <w:rPr>
                <w:rFonts w:ascii="Arial" w:hAnsi="Arial" w:cs="Arial"/>
                <w:sz w:val="20"/>
                <w:szCs w:val="20"/>
              </w:rPr>
              <w:t>is screened for privacy. Screening must:</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be of a high architectural standard and design;</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not dominate the majority of the street frontage;</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not reduce or inhibit the activation of the street frontage by blocking or restricting overlooking from habitable room windows, front doors and pedestrian access points to each dwelling; and</w:t>
            </w:r>
          </w:p>
          <w:p w:rsidR="007E10F1" w:rsidRPr="007E10F1" w:rsidRDefault="007E10F1" w:rsidP="006C517C">
            <w:pPr>
              <w:pStyle w:val="NormalWeb"/>
              <w:numPr>
                <w:ilvl w:val="3"/>
                <w:numId w:val="2"/>
              </w:numPr>
              <w:tabs>
                <w:tab w:val="clear" w:pos="2520"/>
                <w:tab w:val="num" w:pos="1621"/>
              </w:tabs>
              <w:ind w:left="1338" w:hanging="425"/>
              <w:rPr>
                <w:rFonts w:ascii="Arial" w:hAnsi="Arial" w:cs="Arial"/>
                <w:sz w:val="20"/>
                <w:szCs w:val="20"/>
              </w:rPr>
            </w:pPr>
            <w:r w:rsidRPr="007E10F1">
              <w:rPr>
                <w:rFonts w:ascii="Arial" w:hAnsi="Arial" w:cs="Arial"/>
                <w:sz w:val="20"/>
                <w:szCs w:val="20"/>
              </w:rPr>
              <w:t xml:space="preserve">be setback behind landscaping (streetscape enhancement landscaping, </w:t>
            </w:r>
            <w:r w:rsidRPr="007E10F1">
              <w:rPr>
                <w:rFonts w:ascii="Arial" w:hAnsi="Arial" w:cs="Arial"/>
                <w:sz w:val="20"/>
                <w:szCs w:val="20"/>
              </w:rPr>
              <w:lastRenderedPageBreak/>
              <w:t>not simple solid screen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Landscaping is not an acceptable form of screening for privacy.  Landscaping is to be used to reduce the impact screening of private open space has on the streetscape.  Screening for privacy must be solid to a minimum height of 1.2m with a transparency of 50% between 1.2m and a maximum height of 1.5m.</w:t>
                  </w:r>
                </w:p>
                <w:p w:rsidR="007E10F1" w:rsidRPr="006C517C" w:rsidRDefault="007E10F1" w:rsidP="007E10F1">
                  <w:pPr>
                    <w:rPr>
                      <w:rFonts w:ascii="Arial" w:eastAsia="Times New Roman" w:hAnsi="Arial" w:cs="Arial"/>
                      <w:sz w:val="18"/>
                      <w:szCs w:val="20"/>
                    </w:rPr>
                  </w:pPr>
                </w:p>
              </w:tc>
            </w:tr>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For further details and examples refer to Planning scheme policy - Residential design.</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have a clearly defined, private outdoor living space that is:</w:t>
            </w:r>
          </w:p>
          <w:p w:rsidR="007E10F1" w:rsidRPr="007E10F1" w:rsidRDefault="007E10F1" w:rsidP="007E10F1">
            <w:pPr>
              <w:pStyle w:val="NormalWeb"/>
              <w:numPr>
                <w:ilvl w:val="0"/>
                <w:numId w:val="3"/>
              </w:numPr>
              <w:rPr>
                <w:rFonts w:ascii="Arial" w:hAnsi="Arial" w:cs="Arial"/>
                <w:sz w:val="20"/>
                <w:szCs w:val="20"/>
              </w:rPr>
            </w:pPr>
            <w:r w:rsidRPr="007E10F1">
              <w:rPr>
                <w:rFonts w:ascii="Arial" w:hAnsi="Arial" w:cs="Arial"/>
                <w:sz w:val="20"/>
                <w:szCs w:val="20"/>
              </w:rPr>
              <w:t>as per table-</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75"/>
              <w:gridCol w:w="1422"/>
              <w:gridCol w:w="1650"/>
            </w:tblGrid>
            <w:tr w:rsidR="007E10F1" w:rsidRPr="007E10F1" w:rsidTr="007E10F1">
              <w:trPr>
                <w:tblCellSpacing w:w="15" w:type="dxa"/>
              </w:trPr>
              <w:tc>
                <w:tcPr>
                  <w:tcW w:w="6668"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Use</w:t>
                  </w:r>
                </w:p>
              </w:tc>
              <w:tc>
                <w:tcPr>
                  <w:tcW w:w="2874"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area in 1 location</w:t>
                  </w:r>
                </w:p>
              </w:tc>
              <w:tc>
                <w:tcPr>
                  <w:tcW w:w="3311"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dimension in all directions</w:t>
                  </w:r>
                </w:p>
              </w:tc>
            </w:tr>
            <w:tr w:rsidR="007E10F1" w:rsidRPr="007E10F1" w:rsidTr="007E10F1">
              <w:trPr>
                <w:tblCellSpacing w:w="15" w:type="dxa"/>
              </w:trPr>
              <w:tc>
                <w:tcPr>
                  <w:tcW w:w="1291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Ground level dwellings</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w:t>
                  </w:r>
                  <w:r w:rsidRPr="007E10F1">
                    <w:rPr>
                      <w:rFonts w:ascii="Arial" w:hAnsi="Arial" w:cs="Arial"/>
                      <w:sz w:val="20"/>
                      <w:szCs w:val="20"/>
                      <w:vertAlign w:val="superscript"/>
                    </w:rPr>
                    <w:t>(</w:t>
                  </w:r>
                  <w:hyperlink r:id="rId9"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Short-term accommodation</w:t>
                  </w:r>
                  <w:r w:rsidRPr="007E10F1">
                    <w:rPr>
                      <w:rFonts w:ascii="Arial" w:hAnsi="Arial" w:cs="Arial"/>
                      <w:sz w:val="20"/>
                      <w:szCs w:val="20"/>
                      <w:vertAlign w:val="superscript"/>
                    </w:rPr>
                    <w:t>(</w:t>
                  </w:r>
                  <w:hyperlink r:id="rId10"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E10F1">
                      <w:rPr>
                        <w:rStyle w:val="Hyperlink"/>
                        <w:rFonts w:ascii="Arial" w:hAnsi="Arial" w:cs="Arial"/>
                        <w:sz w:val="20"/>
                        <w:szCs w:val="20"/>
                        <w:vertAlign w:val="superscript"/>
                      </w:rPr>
                      <w:t>77</w:t>
                    </w:r>
                  </w:hyperlink>
                  <w:r w:rsidRPr="007E10F1">
                    <w:rPr>
                      <w:rFonts w:ascii="Arial" w:hAnsi="Arial" w:cs="Arial"/>
                      <w:sz w:val="20"/>
                      <w:szCs w:val="20"/>
                      <w:vertAlign w:val="superscript"/>
                    </w:rPr>
                    <w:t>)</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9m</w:t>
                  </w:r>
                  <w:r w:rsidRPr="007E10F1">
                    <w:rPr>
                      <w:rFonts w:ascii="Arial" w:hAnsi="Arial" w:cs="Arial"/>
                      <w:sz w:val="20"/>
                      <w:szCs w:val="20"/>
                      <w:vertAlign w:val="superscript"/>
                    </w:rPr>
                    <w:t>2</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3m</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dwelling types</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12m</w:t>
                  </w:r>
                  <w:r w:rsidRPr="007E10F1">
                    <w:rPr>
                      <w:rFonts w:ascii="Arial" w:hAnsi="Arial" w:cs="Arial"/>
                      <w:sz w:val="20"/>
                      <w:szCs w:val="20"/>
                      <w:vertAlign w:val="superscript"/>
                    </w:rPr>
                    <w:t>2</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2.4m</w:t>
                  </w:r>
                </w:p>
              </w:tc>
            </w:tr>
            <w:tr w:rsidR="007E10F1" w:rsidRPr="007E10F1" w:rsidTr="007E10F1">
              <w:trPr>
                <w:tblCellSpacing w:w="15" w:type="dxa"/>
              </w:trPr>
              <w:tc>
                <w:tcPr>
                  <w:tcW w:w="1291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Above ground level dwellings (all dwelling types)</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 bedroom , studio, rooming unit</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8m²</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1.5m</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 bedrooms or more</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12m² </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2.4m</w:t>
                  </w:r>
                </w:p>
              </w:tc>
            </w:tr>
          </w:tbl>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accessed from a living area;</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if private open space is located at ground level:</w:t>
            </w:r>
          </w:p>
          <w:p w:rsidR="007E10F1" w:rsidRPr="007E10F1" w:rsidRDefault="007E10F1" w:rsidP="007E10F1">
            <w:pPr>
              <w:pStyle w:val="NormalWeb"/>
              <w:numPr>
                <w:ilvl w:val="1"/>
                <w:numId w:val="4"/>
              </w:numPr>
              <w:rPr>
                <w:rFonts w:ascii="Arial" w:hAnsi="Arial" w:cs="Arial"/>
                <w:sz w:val="20"/>
                <w:szCs w:val="20"/>
              </w:rPr>
            </w:pPr>
            <w:r w:rsidRPr="007E10F1">
              <w:rPr>
                <w:rFonts w:ascii="Arial" w:hAnsi="Arial" w:cs="Arial"/>
                <w:sz w:val="20"/>
                <w:szCs w:val="20"/>
              </w:rPr>
              <w:t>it is screened for privacy from adjoining dwellings;</w:t>
            </w:r>
          </w:p>
          <w:p w:rsidR="007E10F1" w:rsidRPr="007E10F1" w:rsidRDefault="007E10F1" w:rsidP="007E10F1">
            <w:pPr>
              <w:pStyle w:val="NormalWeb"/>
              <w:numPr>
                <w:ilvl w:val="1"/>
                <w:numId w:val="4"/>
              </w:numPr>
              <w:rPr>
                <w:rFonts w:ascii="Arial" w:hAnsi="Arial" w:cs="Arial"/>
                <w:sz w:val="20"/>
                <w:szCs w:val="20"/>
              </w:rPr>
            </w:pPr>
            <w:r w:rsidRPr="007E10F1">
              <w:rPr>
                <w:rFonts w:ascii="Arial" w:hAnsi="Arial" w:cs="Arial"/>
                <w:sz w:val="20"/>
                <w:szCs w:val="20"/>
              </w:rPr>
              <w:t>it is located to the rear or side of the dwelling behind the main building line and not within the primary frontage setback.</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for above ground dwellings that adjoin the street, minimum private open space areas (balconies) are orientated to the street, or for dwellings that do not adjoin the street, balconies face north or east;</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minimum open space area and dimensions are clear of any utility and non-recreational structure (including but not limited to driveways, air-conditioning units, water tanks, storage structures, refuse storage areas and retaining structures).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Areas for clothes drying are not to be visible from the street.</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Private open space minimum areas may be included within an unenclosed living structure (e.g. patio).</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Retirement facilities</w:t>
                  </w:r>
                  <w:r w:rsidRPr="006C517C">
                    <w:rPr>
                      <w:rFonts w:ascii="Arial" w:hAnsi="Arial" w:cs="Arial"/>
                      <w:sz w:val="18"/>
                      <w:szCs w:val="20"/>
                      <w:vertAlign w:val="superscript"/>
                    </w:rPr>
                    <w:t>(</w:t>
                  </w:r>
                  <w:hyperlink r:id="rId11"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C517C">
                      <w:rPr>
                        <w:rStyle w:val="Hyperlink"/>
                        <w:rFonts w:ascii="Arial" w:hAnsi="Arial" w:cs="Arial"/>
                        <w:sz w:val="18"/>
                        <w:szCs w:val="20"/>
                        <w:vertAlign w:val="superscript"/>
                      </w:rPr>
                      <w:t>67</w:t>
                    </w:r>
                  </w:hyperlink>
                  <w:r w:rsidRPr="006C517C">
                    <w:rPr>
                      <w:rFonts w:ascii="Arial" w:hAnsi="Arial" w:cs="Arial"/>
                      <w:sz w:val="18"/>
                      <w:szCs w:val="20"/>
                      <w:vertAlign w:val="superscript"/>
                    </w:rPr>
                    <w:t>)</w:t>
                  </w:r>
                  <w:r w:rsidRPr="006C517C">
                    <w:rPr>
                      <w:rFonts w:ascii="Arial" w:hAnsi="Arial" w:cs="Arial"/>
                      <w:sz w:val="18"/>
                      <w:szCs w:val="20"/>
                    </w:rPr>
                    <w:t xml:space="preserve"> for dependant (high care) living and Rooming accommodations</w:t>
                  </w:r>
                  <w:r w:rsidRPr="006C517C">
                    <w:rPr>
                      <w:rFonts w:ascii="Arial" w:hAnsi="Arial" w:cs="Arial"/>
                      <w:sz w:val="18"/>
                      <w:szCs w:val="20"/>
                      <w:vertAlign w:val="superscript"/>
                    </w:rPr>
                    <w:t>(</w:t>
                  </w:r>
                  <w:hyperlink r:id="rId12" w:anchor="target-d768251e572066" w:tooltip="Rooming accommodation - Premises used for the accommodation of more than one household where each resident:" w:history="1">
                    <w:r w:rsidRPr="006C517C">
                      <w:rPr>
                        <w:rStyle w:val="Hyperlink"/>
                        <w:rFonts w:ascii="Arial" w:hAnsi="Arial" w:cs="Arial"/>
                        <w:sz w:val="18"/>
                        <w:szCs w:val="20"/>
                        <w:vertAlign w:val="superscript"/>
                      </w:rPr>
                      <w:t>69</w:t>
                    </w:r>
                  </w:hyperlink>
                  <w:r w:rsidRPr="006C517C">
                    <w:rPr>
                      <w:rFonts w:ascii="Arial" w:hAnsi="Arial" w:cs="Arial"/>
                      <w:sz w:val="18"/>
                      <w:szCs w:val="20"/>
                      <w:vertAlign w:val="superscript"/>
                    </w:rPr>
                    <w:t>)</w:t>
                  </w:r>
                  <w:r w:rsidRPr="006C517C">
                    <w:rPr>
                      <w:rFonts w:ascii="Arial" w:hAnsi="Arial" w:cs="Arial"/>
                      <w:sz w:val="18"/>
                      <w:szCs w:val="20"/>
                    </w:rPr>
                    <w:t xml:space="preserve"> are not required to provide private open space.</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A loft located above a garage is considered to be an above ground level dwelling. Private open space can be provided in a balcony or at ground floor.</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Style w:val="Strong"/>
                <w:rFonts w:ascii="Arial" w:hAnsi="Arial" w:cs="Arial"/>
                <w:sz w:val="20"/>
                <w:szCs w:val="20"/>
              </w:rPr>
            </w:pPr>
            <w:r w:rsidRPr="007E10F1">
              <w:rPr>
                <w:rStyle w:val="Strong"/>
                <w:rFonts w:ascii="Arial" w:hAnsi="Arial" w:cs="Arial"/>
                <w:sz w:val="20"/>
                <w:szCs w:val="20"/>
              </w:rPr>
              <w:lastRenderedPageBreak/>
              <w:t>Communal facilities (Rooming accommodation, Retirement facility with dependant living only, Tourist park)  </w:t>
            </w: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accommodations</w:t>
            </w:r>
            <w:r w:rsidRPr="007E10F1">
              <w:rPr>
                <w:rFonts w:ascii="Arial" w:hAnsi="Arial" w:cs="Arial"/>
                <w:sz w:val="20"/>
                <w:szCs w:val="20"/>
                <w:vertAlign w:val="superscript"/>
              </w:rPr>
              <w:t>(</w:t>
            </w:r>
            <w:hyperlink r:id="rId13"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facilities</w:t>
            </w:r>
            <w:r w:rsidRPr="007E10F1">
              <w:rPr>
                <w:rFonts w:ascii="Arial" w:hAnsi="Arial" w:cs="Arial"/>
                <w:sz w:val="20"/>
                <w:szCs w:val="20"/>
                <w:vertAlign w:val="superscript"/>
              </w:rPr>
              <w:t>(</w:t>
            </w:r>
            <w:hyperlink r:id="rId14"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and Tourist parks</w:t>
            </w:r>
            <w:r w:rsidRPr="007E10F1">
              <w:rPr>
                <w:rFonts w:ascii="Arial" w:hAnsi="Arial" w:cs="Arial"/>
                <w:sz w:val="20"/>
                <w:szCs w:val="20"/>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r w:rsidRPr="007E10F1">
              <w:rPr>
                <w:rFonts w:ascii="Arial" w:hAnsi="Arial" w:cs="Arial"/>
                <w:sz w:val="20"/>
                <w:szCs w:val="20"/>
              </w:rPr>
              <w:t xml:space="preserve"> include open space and recreational facilities for the recreational needs of the users of the lot.  Facilities are to be useable and located to minimise internal and external impacts on the amenity of residents and neighbouring properties.</w:t>
            </w: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Communal space including any landscaped area and indoor recreation areas (e.g. community meeting room, gymnasium etc) is provided at the following rates: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304"/>
              <w:gridCol w:w="2943"/>
              <w:gridCol w:w="50"/>
            </w:tblGrid>
            <w:tr w:rsidR="007E10F1" w:rsidRPr="007E10F1" w:rsidTr="007E10F1">
              <w:trPr>
                <w:gridBefore w:val="1"/>
                <w:gridAfter w:val="1"/>
                <w:wAfter w:w="5" w:type="dxa"/>
                <w:tblCellSpacing w:w="15" w:type="dxa"/>
              </w:trPr>
              <w:tc>
                <w:tcPr>
                  <w:tcW w:w="6771"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Use</w:t>
                  </w:r>
                </w:p>
              </w:tc>
              <w:tc>
                <w:tcPr>
                  <w:tcW w:w="6022"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communal open space</w:t>
                  </w:r>
                </w:p>
              </w:tc>
            </w:tr>
            <w:tr w:rsidR="007E10F1" w:rsidRPr="007E10F1" w:rsidTr="007E10F1">
              <w:trPr>
                <w:gridBefore w:val="1"/>
                <w:gridAfter w:val="1"/>
                <w:wAfter w:w="5" w:type="dxa"/>
                <w:tblCellSpacing w:w="15" w:type="dxa"/>
              </w:trPr>
              <w:tc>
                <w:tcPr>
                  <w:tcW w:w="2646"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w:t>
                  </w:r>
                  <w:r w:rsidRPr="007E10F1">
                    <w:rPr>
                      <w:rFonts w:ascii="Arial" w:hAnsi="Arial" w:cs="Arial"/>
                      <w:sz w:val="20"/>
                      <w:szCs w:val="20"/>
                      <w:vertAlign w:val="superscript"/>
                    </w:rPr>
                    <w:t>(</w:t>
                  </w:r>
                  <w:hyperlink r:id="rId16"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facility</w:t>
                  </w:r>
                  <w:r w:rsidRPr="007E10F1">
                    <w:rPr>
                      <w:rFonts w:ascii="Arial" w:hAnsi="Arial" w:cs="Arial"/>
                      <w:sz w:val="20"/>
                      <w:szCs w:val="20"/>
                      <w:vertAlign w:val="superscript"/>
                    </w:rPr>
                    <w:t>(</w:t>
                  </w:r>
                  <w:hyperlink r:id="rId1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dependent) and Tourist park</w:t>
                  </w:r>
                  <w:r w:rsidRPr="007E10F1">
                    <w:rPr>
                      <w:rFonts w:ascii="Arial" w:hAnsi="Arial" w:cs="Arial"/>
                      <w:sz w:val="20"/>
                      <w:szCs w:val="20"/>
                      <w:vertAlign w:val="superscript"/>
                    </w:rPr>
                    <w:t>(</w:t>
                  </w:r>
                  <w:hyperlink r:id="rId1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p>
              </w:tc>
              <w:tc>
                <w:tcPr>
                  <w:tcW w:w="2354"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of the lot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dimension of 5m.</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Retirement facilities</w:t>
                  </w:r>
                  <w:r w:rsidRPr="006C517C">
                    <w:rPr>
                      <w:rFonts w:ascii="Arial" w:hAnsi="Arial" w:cs="Arial"/>
                      <w:sz w:val="18"/>
                      <w:szCs w:val="20"/>
                      <w:vertAlign w:val="superscript"/>
                    </w:rPr>
                    <w:t>(</w:t>
                  </w:r>
                  <w:hyperlink r:id="rId19"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C517C">
                      <w:rPr>
                        <w:rStyle w:val="Hyperlink"/>
                        <w:rFonts w:ascii="Arial" w:hAnsi="Arial" w:cs="Arial"/>
                        <w:sz w:val="18"/>
                        <w:szCs w:val="20"/>
                        <w:vertAlign w:val="superscript"/>
                      </w:rPr>
                      <w:t>67</w:t>
                    </w:r>
                  </w:hyperlink>
                  <w:r w:rsidRPr="006C517C">
                    <w:rPr>
                      <w:rFonts w:ascii="Arial" w:hAnsi="Arial" w:cs="Arial"/>
                      <w:sz w:val="18"/>
                      <w:szCs w:val="20"/>
                      <w:vertAlign w:val="superscript"/>
                    </w:rPr>
                    <w:t>)</w:t>
                  </w:r>
                  <w:r w:rsidRPr="006C517C">
                    <w:rPr>
                      <w:rFonts w:ascii="Arial" w:hAnsi="Arial" w:cs="Arial"/>
                      <w:sz w:val="18"/>
                      <w:szCs w:val="20"/>
                    </w:rPr>
                    <w:t xml:space="preserve"> with independent living provide private open space areas as stated above</w:t>
                  </w:r>
                  <w:r w:rsidRPr="007E10F1">
                    <w:rPr>
                      <w:rFonts w:ascii="Arial" w:hAnsi="Arial" w:cs="Arial"/>
                      <w:sz w:val="20"/>
                      <w:szCs w:val="20"/>
                    </w:rPr>
                    <w:t>.</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Communal open space for Rooming accommodations</w:t>
            </w:r>
            <w:r w:rsidRPr="007E10F1">
              <w:rPr>
                <w:rFonts w:ascii="Arial" w:hAnsi="Arial" w:cs="Arial"/>
                <w:sz w:val="20"/>
                <w:szCs w:val="20"/>
                <w:vertAlign w:val="superscript"/>
              </w:rPr>
              <w:t>(</w:t>
            </w:r>
            <w:hyperlink r:id="rId20"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xml:space="preserve"> and Retirement facilities</w:t>
            </w:r>
            <w:r w:rsidRPr="007E10F1">
              <w:rPr>
                <w:rFonts w:ascii="Arial" w:hAnsi="Arial" w:cs="Arial"/>
                <w:sz w:val="20"/>
                <w:szCs w:val="20"/>
                <w:vertAlign w:val="superscript"/>
              </w:rPr>
              <w:t>(</w:t>
            </w:r>
            <w:hyperlink r:id="rId21"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includes at least 50% of the minimum open space requirement in one area with a length to breadth ratio of no greater than 2:1;</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clear of all non-recreational structures, including clothes hoists, driveways, water tanks, car parking and refuse storage areas;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safe, readily accessible and convenient to residents;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lastRenderedPageBreak/>
              <w:t>is designed and located so that it is subject to casual surveillance;</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utilises hard and soft landscape treatments;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clearly separated from any private areas on the lot.</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30"/>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Car parking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is provided on-site that provides for the number and type of vehicles anticipated to access the lot, ensuring a surplus of car parking is avoided. </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spaces are provided in accordance with:</w:t>
            </w:r>
          </w:p>
          <w:p w:rsidR="007E10F1" w:rsidRPr="006C517C" w:rsidRDefault="007E10F1" w:rsidP="007E10F1">
            <w:pPr>
              <w:pStyle w:val="NormalWeb"/>
              <w:numPr>
                <w:ilvl w:val="0"/>
                <w:numId w:val="6"/>
              </w:numPr>
              <w:rPr>
                <w:rFonts w:ascii="Arial" w:hAnsi="Arial" w:cs="Arial"/>
                <w:sz w:val="20"/>
                <w:szCs w:val="20"/>
              </w:rPr>
            </w:pPr>
            <w:r w:rsidRPr="007E10F1">
              <w:rPr>
                <w:rFonts w:ascii="Arial" w:hAnsi="Arial" w:cs="Arial"/>
                <w:sz w:val="20"/>
                <w:szCs w:val="20"/>
              </w:rPr>
              <w:t xml:space="preserve">Emerging community zone – Transition precinct (developed lot) - </w:t>
            </w:r>
            <w:hyperlink r:id="rId22" w:anchor="ID-2859416-TABLE-9.3.2.4" w:history="1">
              <w:r w:rsidRPr="006C517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General residential zone - Next generation neighbourhood and Urban neighbourhood precincts - </w:t>
            </w:r>
            <w:hyperlink r:id="rId23" w:anchor="ID-2859416-TABLE-9.3.2.4" w:history="1">
              <w:r w:rsidRPr="006C517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General residential zone - Coastal communities and Suburban neighbourhood precincts - </w:t>
            </w:r>
            <w:hyperlink r:id="rId24" w:anchor="ID-2859416-TABLE-9.3.2.5" w:history="1">
              <w:r w:rsidRPr="006C517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Township zone - </w:t>
            </w:r>
            <w:hyperlink r:id="rId25" w:anchor="ID-2859416-TABLE-9.3.2.5" w:history="1">
              <w:r w:rsidRPr="006C517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Centre zone - Caboolture and Strathpine centre precincts - </w:t>
            </w:r>
            <w:hyperlink r:id="rId26" w:anchor="ID-2859416-TABLE-9.3.2.6" w:history="1">
              <w:r w:rsidRPr="006C517C">
                <w:rPr>
                  <w:rStyle w:val="Hyperlink"/>
                  <w:rFonts w:ascii="Arial" w:hAnsi="Arial" w:cs="Arial"/>
                  <w:color w:val="auto"/>
                  <w:sz w:val="20"/>
                  <w:szCs w:val="20"/>
                  <w:u w:val="none"/>
                </w:rPr>
                <w:t>Table 9.3.2.6 ‘Car parking rates - Centre zone (Caboolture and Strathpine centre precincts)’</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Centre zone - District and Local centre precincts - </w:t>
            </w:r>
            <w:hyperlink r:id="rId27"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Redcliffe Kippa-Ring local plan - Redcliffe seaside village and Kippa-Ring village precincts - </w:t>
            </w:r>
            <w:hyperlink r:id="rId28"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6C517C">
              <w:rPr>
                <w:rFonts w:ascii="Arial" w:hAnsi="Arial" w:cs="Arial"/>
                <w:sz w:val="20"/>
                <w:szCs w:val="20"/>
              </w:rPr>
              <w:t>;</w:t>
            </w:r>
          </w:p>
          <w:p w:rsidR="007E10F1" w:rsidRPr="007E10F1"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lastRenderedPageBreak/>
              <w:t xml:space="preserve">Caboolture West local plan - </w:t>
            </w:r>
            <w:hyperlink r:id="rId29"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7E10F1">
              <w:rPr>
                <w:rFonts w:ascii="Arial" w:hAnsi="Arial" w:cs="Arial"/>
                <w:sz w:val="20"/>
                <w:szCs w:val="20"/>
              </w:rPr>
              <w:t>.</w:t>
            </w:r>
          </w:p>
          <w:p w:rsidR="007E10F1" w:rsidRPr="007E10F1" w:rsidRDefault="007E10F1" w:rsidP="007E10F1">
            <w:pPr>
              <w:pStyle w:val="NormalWeb"/>
              <w:numPr>
                <w:ilvl w:val="0"/>
                <w:numId w:val="6"/>
              </w:numPr>
              <w:rPr>
                <w:rFonts w:ascii="Arial" w:hAnsi="Arial" w:cs="Arial"/>
                <w:sz w:val="20"/>
                <w:szCs w:val="20"/>
              </w:rPr>
            </w:pPr>
            <w:r w:rsidRPr="007E10F1">
              <w:rPr>
                <w:rFonts w:ascii="Arial" w:hAnsi="Arial" w:cs="Arial"/>
                <w:sz w:val="20"/>
                <w:szCs w:val="20"/>
              </w:rPr>
              <w:t>all other areas-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The above rates exclude car parking spaces for people with a disability required by Disability Discrimination Act 1992 or the relevant disability discrimination legislation and standards.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areas do not adjoin the street frontage or public open space areas, or are designed to:</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not dominate the street frontage;</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maintain active frontages;</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contribute to the intended character of the streetscape;</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not compromise on-site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p w:rsidR="007E10F1" w:rsidRPr="007E10F1" w:rsidRDefault="007E10F1" w:rsidP="007E10F1">
                  <w:pPr>
                    <w:rPr>
                      <w:rFonts w:ascii="Arial" w:hAnsi="Arial" w:cs="Arial"/>
                      <w:sz w:val="20"/>
                      <w:szCs w:val="20"/>
                    </w:rPr>
                  </w:pPr>
                  <w:r w:rsidRPr="006C517C">
                    <w:rPr>
                      <w:rFonts w:ascii="Arial" w:eastAsia="Times New Roman" w:hAnsi="Arial" w:cs="Arial"/>
                      <w:sz w:val="18"/>
                      <w:szCs w:val="20"/>
                    </w:rPr>
                    <w:br/>
                  </w:r>
                  <w:r w:rsidRPr="006C517C">
                    <w:rPr>
                      <w:rFonts w:ascii="Arial" w:hAnsi="Arial" w:cs="Arial"/>
                      <w:sz w:val="18"/>
                      <w:szCs w:val="20"/>
                    </w:rPr>
                    <w:t>Note - Where screening of car parking areas is proposed as an alternative, screening is to be in the form of an architectural feature of the building, not simply a screen and landscaping.</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Garage and carport openings are no greater than: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269"/>
              <w:gridCol w:w="4966"/>
              <w:gridCol w:w="62"/>
            </w:tblGrid>
            <w:tr w:rsidR="007E10F1" w:rsidRPr="007E10F1" w:rsidTr="007E10F1">
              <w:trPr>
                <w:gridBefore w:val="1"/>
                <w:gridAfter w:val="1"/>
                <w:wAfter w:w="17" w:type="dxa"/>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Primary lot frontage</w:t>
                  </w:r>
                </w:p>
              </w:tc>
              <w:tc>
                <w:tcPr>
                  <w:tcW w:w="10298"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Covered car space opening(s) per street frontage and location of car parking areas</w:t>
                  </w:r>
                </w:p>
              </w:tc>
            </w:tr>
            <w:tr w:rsidR="007E10F1" w:rsidRPr="007E10F1" w:rsidTr="007E10F1">
              <w:trPr>
                <w:gridBefore w:val="1"/>
                <w:gridAfter w:val="1"/>
                <w:wAfter w:w="17" w:type="dxa"/>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15m or greater</w:t>
                  </w:r>
                </w:p>
              </w:tc>
              <w:tc>
                <w:tcPr>
                  <w:tcW w:w="10298"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numPr>
                      <w:ilvl w:val="0"/>
                      <w:numId w:val="8"/>
                    </w:numPr>
                    <w:rPr>
                      <w:rFonts w:ascii="Arial" w:hAnsi="Arial" w:cs="Arial"/>
                      <w:sz w:val="20"/>
                      <w:szCs w:val="20"/>
                    </w:rPr>
                  </w:pPr>
                  <w:r w:rsidRPr="007E10F1">
                    <w:rPr>
                      <w:rFonts w:ascii="Arial" w:hAnsi="Arial" w:cs="Arial"/>
                      <w:sz w:val="20"/>
                      <w:szCs w:val="20"/>
                    </w:rPr>
                    <w:t>3m for every 7.5m of street frontage;</w:t>
                  </w:r>
                </w:p>
                <w:p w:rsidR="007E10F1" w:rsidRPr="007E10F1" w:rsidRDefault="007E10F1" w:rsidP="007E10F1">
                  <w:pPr>
                    <w:pStyle w:val="NormalWeb"/>
                    <w:numPr>
                      <w:ilvl w:val="0"/>
                      <w:numId w:val="8"/>
                    </w:numPr>
                    <w:rPr>
                      <w:rFonts w:ascii="Arial" w:hAnsi="Arial" w:cs="Arial"/>
                      <w:sz w:val="20"/>
                      <w:szCs w:val="20"/>
                    </w:rPr>
                  </w:pPr>
                  <w:r w:rsidRPr="007E10F1">
                    <w:rPr>
                      <w:rFonts w:ascii="Arial" w:hAnsi="Arial" w:cs="Arial"/>
                      <w:sz w:val="20"/>
                      <w:szCs w:val="20"/>
                    </w:rPr>
                    <w:t>every 6m of opening is separated by a minimum of 6m</w:t>
                  </w:r>
                </w:p>
              </w:tc>
            </w:tr>
            <w:tr w:rsidR="007E10F1" w:rsidRPr="007E10F1" w:rsidTr="007E10F1">
              <w:trPr>
                <w:gridBefore w:val="1"/>
                <w:gridAfter w:val="1"/>
                <w:wAfter w:w="17" w:type="dxa"/>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Less than 15m</w:t>
                  </w:r>
                </w:p>
              </w:tc>
              <w:tc>
                <w:tcPr>
                  <w:tcW w:w="10298"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numPr>
                      <w:ilvl w:val="0"/>
                      <w:numId w:val="9"/>
                    </w:numPr>
                    <w:rPr>
                      <w:rFonts w:ascii="Arial" w:hAnsi="Arial" w:cs="Arial"/>
                      <w:sz w:val="20"/>
                      <w:szCs w:val="20"/>
                    </w:rPr>
                  </w:pPr>
                  <w:r w:rsidRPr="007E10F1">
                    <w:rPr>
                      <w:rFonts w:ascii="Arial" w:hAnsi="Arial" w:cs="Arial"/>
                      <w:sz w:val="20"/>
                      <w:szCs w:val="20"/>
                    </w:rPr>
                    <w:t>Single level: 3.0m wide;</w:t>
                  </w:r>
                </w:p>
                <w:p w:rsidR="007E10F1" w:rsidRPr="007E10F1" w:rsidRDefault="007E10F1" w:rsidP="007E10F1">
                  <w:pPr>
                    <w:pStyle w:val="NormalWeb"/>
                    <w:numPr>
                      <w:ilvl w:val="0"/>
                      <w:numId w:val="9"/>
                    </w:numPr>
                    <w:rPr>
                      <w:rFonts w:ascii="Arial" w:hAnsi="Arial" w:cs="Arial"/>
                      <w:sz w:val="20"/>
                      <w:szCs w:val="20"/>
                    </w:rPr>
                  </w:pPr>
                  <w:r w:rsidRPr="007E10F1">
                    <w:rPr>
                      <w:rFonts w:ascii="Arial" w:hAnsi="Arial" w:cs="Arial"/>
                      <w:sz w:val="20"/>
                      <w:szCs w:val="20"/>
                    </w:rPr>
                    <w:t>Double level: 6.0m and recessed 1.0m behind the front wall or balcony of upper level.</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numPr>
                      <w:ilvl w:val="0"/>
                      <w:numId w:val="10"/>
                    </w:numPr>
                    <w:rPr>
                      <w:rFonts w:ascii="Arial" w:hAnsi="Arial" w:cs="Arial"/>
                      <w:sz w:val="20"/>
                      <w:szCs w:val="20"/>
                    </w:rPr>
                  </w:pPr>
                  <w:r w:rsidRPr="007E10F1">
                    <w:rPr>
                      <w:rFonts w:ascii="Arial" w:hAnsi="Arial" w:cs="Arial"/>
                      <w:sz w:val="20"/>
                      <w:szCs w:val="20"/>
                    </w:rPr>
                    <w:t>For a laneway lot (Single or double level): 6m wide</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townhouses:</w:t>
            </w:r>
          </w:p>
          <w:p w:rsidR="007E10F1" w:rsidRPr="007E10F1" w:rsidRDefault="007E10F1" w:rsidP="007E10F1">
            <w:pPr>
              <w:pStyle w:val="NormalWeb"/>
              <w:numPr>
                <w:ilvl w:val="0"/>
                <w:numId w:val="11"/>
              </w:numPr>
              <w:rPr>
                <w:rFonts w:ascii="Arial" w:hAnsi="Arial" w:cs="Arial"/>
                <w:sz w:val="20"/>
                <w:szCs w:val="20"/>
              </w:rPr>
            </w:pPr>
            <w:r w:rsidRPr="007E10F1">
              <w:rPr>
                <w:rFonts w:ascii="Arial" w:hAnsi="Arial" w:cs="Arial"/>
                <w:sz w:val="20"/>
                <w:szCs w:val="20"/>
              </w:rPr>
              <w:t>parking spaces gain access via internal driveways; or</w:t>
            </w:r>
          </w:p>
          <w:p w:rsidR="007E10F1" w:rsidRPr="007E10F1" w:rsidRDefault="007E10F1" w:rsidP="007E10F1">
            <w:pPr>
              <w:pStyle w:val="NormalWeb"/>
              <w:numPr>
                <w:ilvl w:val="0"/>
                <w:numId w:val="11"/>
              </w:numPr>
              <w:rPr>
                <w:rFonts w:ascii="Arial" w:hAnsi="Arial" w:cs="Arial"/>
                <w:sz w:val="20"/>
                <w:szCs w:val="20"/>
              </w:rPr>
            </w:pPr>
            <w:r w:rsidRPr="007E10F1">
              <w:rPr>
                <w:rFonts w:ascii="Arial" w:hAnsi="Arial" w:cs="Arial"/>
                <w:sz w:val="20"/>
                <w:szCs w:val="20"/>
              </w:rPr>
              <w:t>car parking areas are located behind the front of the building.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lastRenderedPageBreak/>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low, medium and high rise apartment buildings:</w:t>
            </w:r>
          </w:p>
          <w:p w:rsidR="007E10F1" w:rsidRPr="007E10F1" w:rsidRDefault="007E10F1" w:rsidP="007E10F1">
            <w:pPr>
              <w:numPr>
                <w:ilvl w:val="0"/>
                <w:numId w:val="12"/>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parking spaces are located in basements or semi-basements; or</w:t>
            </w:r>
          </w:p>
          <w:p w:rsidR="007E10F1" w:rsidRPr="007E10F1" w:rsidRDefault="007E10F1" w:rsidP="007E10F1">
            <w:pPr>
              <w:numPr>
                <w:ilvl w:val="0"/>
                <w:numId w:val="12"/>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are located behind dwellings and not adjoining the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Basement car parking does not extend to within deep planting zones.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areas and structures are designed and located to reduce noise and lighting impacts on dwellings within the lot and adjoining properties.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rHeight w:val="73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7E10F1" w:rsidRPr="007E10F1" w:rsidTr="007E10F1">
              <w:trPr>
                <w:tblCellSpacing w:w="15" w:type="dxa"/>
              </w:trPr>
              <w:tc>
                <w:tcPr>
                  <w:tcW w:w="14942" w:type="dxa"/>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Note - Building work to which this code applies constitutes Major Development for purposes of development requirements for end of trip facilities prescribed in the Queensland Development Code MP 4.1.</w:t>
                  </w:r>
                </w:p>
              </w:tc>
            </w:tr>
          </w:tbl>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PO7</w:t>
            </w:r>
          </w:p>
          <w:p w:rsidR="007E10F1" w:rsidRPr="007E10F1" w:rsidRDefault="007E10F1" w:rsidP="007E10F1">
            <w:pPr>
              <w:pStyle w:val="NormalWeb"/>
              <w:numPr>
                <w:ilvl w:val="0"/>
                <w:numId w:val="13"/>
              </w:numPr>
              <w:rPr>
                <w:rFonts w:ascii="Arial" w:hAnsi="Arial" w:cs="Arial"/>
                <w:sz w:val="20"/>
                <w:szCs w:val="20"/>
              </w:rPr>
            </w:pPr>
            <w:r w:rsidRPr="007E10F1">
              <w:rPr>
                <w:rFonts w:ascii="Arial" w:hAnsi="Arial" w:cs="Arial"/>
                <w:sz w:val="20"/>
                <w:szCs w:val="20"/>
              </w:rPr>
              <w:t>End of trip facilities are provided for employees or occupants, in the building or on-site within a reasonable walking distance, and include:</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adequate bicycle parking and storage facilities; and</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adequate provision for securing belongings; and</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lastRenderedPageBreak/>
              <w:t>change rooms that include adequate showers, sanitary compartments, wash basins and mirrors.</w:t>
            </w:r>
          </w:p>
          <w:p w:rsidR="007E10F1" w:rsidRPr="007E10F1" w:rsidRDefault="007E10F1" w:rsidP="007E10F1">
            <w:pPr>
              <w:pStyle w:val="NormalWeb"/>
              <w:numPr>
                <w:ilvl w:val="0"/>
                <w:numId w:val="13"/>
              </w:numPr>
              <w:rPr>
                <w:rFonts w:ascii="Arial" w:hAnsi="Arial" w:cs="Arial"/>
                <w:sz w:val="20"/>
                <w:szCs w:val="20"/>
              </w:rPr>
            </w:pPr>
            <w:r w:rsidRPr="007E10F1">
              <w:rPr>
                <w:rFonts w:ascii="Arial" w:hAnsi="Arial" w:cs="Arial"/>
                <w:sz w:val="20"/>
                <w:szCs w:val="20"/>
              </w:rPr>
              <w:t>Notwithstanding a. there is no requirement to provide end of trip facilities if it would be unreasonable to provide these facilities having regard to:</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the projected population growth and forward planning for road upgrading and development of cycle paths; or</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whether it would be practical to commute to and from the building on a bicycle, having regard to the likely commute distances and nature of the terrain; or</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Editor's note - The intent of b above is to ensure the requirements for bicycle parking and end of trip facilities are not applied in unreasonable circumstances.  For example these requirements should not, and do not apply in the Rural zone or the Rural residential zone etc.</w:t>
                  </w:r>
                </w:p>
              </w:tc>
            </w:tr>
            <w:tr w:rsidR="007E10F1" w:rsidRPr="007E10F1" w:rsidTr="007E10F1">
              <w:trPr>
                <w:tblCellSpacing w:w="15" w:type="dxa"/>
              </w:trPr>
              <w:tc>
                <w:tcPr>
                  <w:tcW w:w="1833" w:type="dxa"/>
                  <w:hideMark/>
                </w:tcPr>
                <w:p w:rsidR="007E10F1" w:rsidRPr="006C517C" w:rsidRDefault="007E10F1" w:rsidP="007E10F1">
                  <w:pPr>
                    <w:rPr>
                      <w:rFonts w:ascii="Arial" w:eastAsia="Times New Roman" w:hAnsi="Arial" w:cs="Arial"/>
                      <w:sz w:val="18"/>
                      <w:szCs w:val="20"/>
                    </w:rPr>
                  </w:pPr>
                  <w:r w:rsidRPr="006C517C">
                    <w:rPr>
                      <w:rFonts w:ascii="Arial" w:eastAsia="Times New Roman" w:hAnsi="Arial" w:cs="Arial"/>
                      <w:sz w:val="18"/>
                      <w:szCs w:val="20"/>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w:t>
                  </w:r>
                  <w:r w:rsidRPr="006C517C">
                    <w:rPr>
                      <w:rFonts w:ascii="Arial" w:eastAsia="Times New Roman" w:hAnsi="Arial" w:cs="Arial"/>
                      <w:sz w:val="18"/>
                      <w:szCs w:val="20"/>
                    </w:rPr>
                    <w:lastRenderedPageBreak/>
                    <w:t>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E7.1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881"/>
              <w:gridCol w:w="3314"/>
              <w:gridCol w:w="95"/>
            </w:tblGrid>
            <w:tr w:rsidR="007E10F1" w:rsidRPr="007E10F1" w:rsidTr="007E10F1">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Bicycle Parking</w:t>
                  </w:r>
                </w:p>
              </w:tc>
            </w:tr>
            <w:tr w:rsidR="007E10F1" w:rsidRPr="007E10F1" w:rsidTr="007E10F1">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1 space per dwelling</w:t>
                  </w:r>
                </w:p>
              </w:tc>
            </w:tr>
            <w:tr w:rsidR="007E10F1" w:rsidRPr="007E10F1" w:rsidTr="007E10F1">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1 space per 2 car parking spaces identified in Schedule 7 – car parking</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lastRenderedPageBreak/>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E7.2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Bicycle parking is:</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 xml:space="preserve">provided in accordance with </w:t>
            </w:r>
            <w:r w:rsidRPr="007E10F1">
              <w:rPr>
                <w:rStyle w:val="Emphasis"/>
                <w:rFonts w:ascii="Arial" w:hAnsi="Arial" w:cs="Arial"/>
                <w:sz w:val="20"/>
                <w:szCs w:val="20"/>
              </w:rPr>
              <w:t>Austroads (2008), Guide to Traffic Management - Part 11: Parking</w:t>
            </w:r>
            <w:r w:rsidRPr="007E10F1">
              <w:rPr>
                <w:rFonts w:ascii="Arial" w:hAnsi="Arial" w:cs="Arial"/>
                <w:sz w:val="20"/>
                <w:szCs w:val="20"/>
              </w:rPr>
              <w:t>;</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protected from the weather by its location or a dedicated roof structure;</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located within the building or in a dedicated, secure structure for residents and staff;</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Bicycle parking structures are to be constructed to the standards prescribed in AS2890.3.</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Bicycle parking and end of trip facilities provided for residential and non-residential activities may be pooled, provided they are within 100 metres of the entrance to the building.</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Access and driveways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Driveways, pedestrian entries and internal access ways are located and designed to:</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lawful access;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detract from the creation of active street frontages and positively contribute to the intended streetscape character;</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negatively impact adjoining uses;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a safe pedestrian environment;</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result in excessive crossovers and hardstand areas;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safe access onto an appropriate order road;</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interfere with infrastructure owned by Council or a utility provider;</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adequate space for on-street parking;</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adequate space for street planting and street trees;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for garbage collection and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Dual occupancies</w:t>
            </w:r>
            <w:r w:rsidRPr="007E10F1">
              <w:rPr>
                <w:rFonts w:ascii="Arial" w:hAnsi="Arial" w:cs="Arial"/>
                <w:sz w:val="20"/>
                <w:szCs w:val="20"/>
                <w:vertAlign w:val="superscript"/>
              </w:rPr>
              <w:t>(</w:t>
            </w:r>
            <w:hyperlink r:id="rId3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provide:</w:t>
            </w:r>
          </w:p>
          <w:p w:rsidR="007E10F1" w:rsidRPr="007E10F1" w:rsidRDefault="007E10F1" w:rsidP="007E10F1">
            <w:pPr>
              <w:pStyle w:val="NormalWeb"/>
              <w:numPr>
                <w:ilvl w:val="0"/>
                <w:numId w:val="16"/>
              </w:numPr>
              <w:rPr>
                <w:rFonts w:ascii="Arial" w:hAnsi="Arial" w:cs="Arial"/>
                <w:sz w:val="20"/>
                <w:szCs w:val="20"/>
              </w:rPr>
            </w:pPr>
            <w:r w:rsidRPr="007E10F1">
              <w:rPr>
                <w:rFonts w:ascii="Arial" w:hAnsi="Arial" w:cs="Arial"/>
                <w:sz w:val="20"/>
                <w:szCs w:val="20"/>
              </w:rPr>
              <w:t>For individual driveways, a maximum crossover width of 4m or </w:t>
            </w:r>
            <w:r w:rsidRPr="007E10F1">
              <w:rPr>
                <w:rFonts w:ascii="Arial" w:hAnsi="Arial" w:cs="Arial"/>
                <w:sz w:val="20"/>
                <w:szCs w:val="20"/>
              </w:rPr>
              <w:br/>
              <w:t>For a shared driveway a maximum crossover width of 5m;</w:t>
            </w:r>
          </w:p>
          <w:p w:rsidR="007E10F1" w:rsidRPr="007E10F1" w:rsidRDefault="007E10F1" w:rsidP="007E10F1">
            <w:pPr>
              <w:pStyle w:val="NormalWeb"/>
              <w:numPr>
                <w:ilvl w:val="0"/>
                <w:numId w:val="16"/>
              </w:numPr>
              <w:rPr>
                <w:rFonts w:ascii="Arial" w:hAnsi="Arial" w:cs="Arial"/>
                <w:sz w:val="20"/>
                <w:szCs w:val="20"/>
              </w:rPr>
            </w:pPr>
            <w:r w:rsidRPr="007E10F1">
              <w:rPr>
                <w:rFonts w:ascii="Arial" w:hAnsi="Arial" w:cs="Arial"/>
                <w:sz w:val="20"/>
                <w:szCs w:val="20"/>
              </w:rPr>
              <w:t>a maximum of one crossover per street frontage; or</w:t>
            </w:r>
            <w:r w:rsidRPr="007E10F1">
              <w:rPr>
                <w:rFonts w:ascii="Arial" w:hAnsi="Arial" w:cs="Arial"/>
                <w:sz w:val="20"/>
                <w:szCs w:val="20"/>
              </w:rPr>
              <w:br/>
              <w:t>where more than 1 crossover per street frontage, they are to be at least 12m apart to allow for on-street parking and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Laneway development provides access from the lane only in accordance with laneway development provisions AO27-AO29.</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a shared driveway development provides a maximum crossover width of 5.5m;</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individual driveways: </w:t>
            </w:r>
          </w:p>
          <w:p w:rsidR="007E10F1" w:rsidRPr="007E10F1" w:rsidRDefault="007E10F1" w:rsidP="007E10F1">
            <w:pPr>
              <w:pStyle w:val="NormalWeb"/>
              <w:numPr>
                <w:ilvl w:val="0"/>
                <w:numId w:val="17"/>
              </w:numPr>
              <w:rPr>
                <w:rFonts w:ascii="Arial" w:hAnsi="Arial" w:cs="Arial"/>
                <w:sz w:val="20"/>
                <w:szCs w:val="20"/>
              </w:rPr>
            </w:pPr>
            <w:r w:rsidRPr="007E10F1">
              <w:rPr>
                <w:rFonts w:ascii="Arial" w:hAnsi="Arial" w:cs="Arial"/>
                <w:sz w:val="20"/>
                <w:szCs w:val="20"/>
              </w:rPr>
              <w:t>a maximum of 1, 3m wide crossover for every 7.5m of primary road frontage;</w:t>
            </w:r>
          </w:p>
          <w:p w:rsidR="007E10F1" w:rsidRPr="007E10F1" w:rsidRDefault="007E10F1" w:rsidP="007E10F1">
            <w:pPr>
              <w:pStyle w:val="NormalWeb"/>
              <w:numPr>
                <w:ilvl w:val="0"/>
                <w:numId w:val="17"/>
              </w:numPr>
              <w:rPr>
                <w:rFonts w:ascii="Arial" w:hAnsi="Arial" w:cs="Arial"/>
                <w:sz w:val="20"/>
                <w:szCs w:val="20"/>
              </w:rPr>
            </w:pPr>
            <w:r w:rsidRPr="007E10F1">
              <w:rPr>
                <w:rFonts w:ascii="Arial" w:hAnsi="Arial" w:cs="Arial"/>
                <w:sz w:val="20"/>
                <w:szCs w:val="20"/>
              </w:rPr>
              <w:t>where more than two driveway crossovers are provided per street frontage, crossovers are paired up and separated by a minimum distance of 6m to facilitate on-street parking and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lastRenderedPageBreak/>
                    <w:t>Note - Refer to Planning scheme policy - Residential design for details and examples.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Development on a laneway provides access from the lane only in accordance with laneway development provisions.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dwellings have access via a shared driveway the driveway is set back a minimum of 3m from a side boundary.</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the development includes at least one ground floor dwelling, the shared driveway may be located 1m from the side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provides vehicular crossovers that comply with Planning scheme policy - Integrated design.</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Driveways do not include a reversing bay, manoeuvring area or visitor parking spaces (other than tandem spaces) in the front setback.</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identifiable from the street by way of:</w:t>
            </w:r>
          </w:p>
          <w:p w:rsidR="007E10F1" w:rsidRPr="007E10F1" w:rsidRDefault="007E10F1" w:rsidP="007E10F1">
            <w:pPr>
              <w:pStyle w:val="NormalWeb"/>
              <w:numPr>
                <w:ilvl w:val="0"/>
                <w:numId w:val="18"/>
              </w:numPr>
              <w:rPr>
                <w:rFonts w:ascii="Arial" w:hAnsi="Arial" w:cs="Arial"/>
                <w:sz w:val="20"/>
                <w:szCs w:val="20"/>
              </w:rPr>
            </w:pPr>
            <w:r w:rsidRPr="007E10F1">
              <w:rPr>
                <w:rFonts w:ascii="Arial" w:hAnsi="Arial" w:cs="Arial"/>
                <w:sz w:val="20"/>
                <w:szCs w:val="20"/>
              </w:rPr>
              <w:t>street numbers;</w:t>
            </w:r>
          </w:p>
          <w:p w:rsidR="007E10F1" w:rsidRPr="007E10F1" w:rsidRDefault="007E10F1" w:rsidP="007E10F1">
            <w:pPr>
              <w:pStyle w:val="NormalWeb"/>
              <w:numPr>
                <w:ilvl w:val="0"/>
                <w:numId w:val="18"/>
              </w:numPr>
              <w:rPr>
                <w:rFonts w:ascii="Arial" w:hAnsi="Arial" w:cs="Arial"/>
                <w:sz w:val="20"/>
                <w:szCs w:val="20"/>
              </w:rPr>
            </w:pPr>
            <w:r w:rsidRPr="007E10F1">
              <w:rPr>
                <w:rFonts w:ascii="Arial" w:hAnsi="Arial" w:cs="Arial"/>
                <w:sz w:val="20"/>
                <w:szCs w:val="20"/>
              </w:rPr>
              <w:t xml:space="preserve">for development with internal roads, a site plan of on-site dwellings and facilities is provided at all vehicular entry points to the lot to facilitate the effective operation of emergency services personnel in carrying out their designated duties and to aid in </w:t>
            </w:r>
            <w:r w:rsidRPr="007E10F1">
              <w:rPr>
                <w:rFonts w:ascii="Arial" w:hAnsi="Arial" w:cs="Arial"/>
                <w:sz w:val="20"/>
                <w:szCs w:val="20"/>
              </w:rPr>
              <w:lastRenderedPageBreak/>
              <w:t>the direction of other visitors around the site.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Landscaping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includes landscaping that:</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provides unobstructed deep planting zones;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enhances the character of the streetscape;</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enhances the quality of buildings, communal areas (for Rooming accommodation</w:t>
            </w:r>
            <w:r w:rsidRPr="007E10F1">
              <w:rPr>
                <w:rFonts w:ascii="Arial" w:hAnsi="Arial" w:cs="Arial"/>
                <w:sz w:val="20"/>
                <w:szCs w:val="20"/>
                <w:vertAlign w:val="superscript"/>
              </w:rPr>
              <w:t>(</w:t>
            </w:r>
            <w:hyperlink r:id="rId31"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facility</w:t>
            </w:r>
            <w:r w:rsidRPr="007E10F1">
              <w:rPr>
                <w:rFonts w:ascii="Arial" w:hAnsi="Arial" w:cs="Arial"/>
                <w:sz w:val="20"/>
                <w:szCs w:val="20"/>
                <w:vertAlign w:val="superscript"/>
              </w:rPr>
              <w:t>(</w:t>
            </w:r>
            <w:hyperlink r:id="rId3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or Tourist park</w:t>
            </w:r>
            <w:r w:rsidRPr="007E10F1">
              <w:rPr>
                <w:rFonts w:ascii="Arial" w:hAnsi="Arial" w:cs="Arial"/>
                <w:sz w:val="20"/>
                <w:szCs w:val="20"/>
                <w:vertAlign w:val="superscript"/>
              </w:rPr>
              <w:t>(</w:t>
            </w:r>
            <w:hyperlink r:id="rId3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r w:rsidRPr="007E10F1">
              <w:rPr>
                <w:rFonts w:ascii="Arial" w:hAnsi="Arial" w:cs="Arial"/>
                <w:sz w:val="20"/>
                <w:szCs w:val="20"/>
              </w:rPr>
              <w:t>) and private open space areas;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contributes to a pleasant and safe environment;</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complies with crime prevention through environmental design (CPTED) principles;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contributes to reducing the urban heat island effect and improve micro-climate conditions;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emphasises a clear pedestrian entry point and allows for the overlooking of the public and communal spaces;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retains mature trees wherever possible.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that is setback from the street incorporates:</w:t>
            </w:r>
          </w:p>
          <w:p w:rsidR="007E10F1" w:rsidRPr="007E10F1" w:rsidRDefault="007E10F1" w:rsidP="007E10F1">
            <w:pPr>
              <w:pStyle w:val="NormalWeb"/>
              <w:numPr>
                <w:ilvl w:val="0"/>
                <w:numId w:val="20"/>
              </w:numPr>
              <w:rPr>
                <w:rFonts w:ascii="Arial" w:hAnsi="Arial" w:cs="Arial"/>
                <w:sz w:val="20"/>
                <w:szCs w:val="20"/>
              </w:rPr>
            </w:pPr>
            <w:r w:rsidRPr="007E10F1">
              <w:rPr>
                <w:rFonts w:ascii="Arial" w:hAnsi="Arial" w:cs="Arial"/>
                <w:sz w:val="20"/>
                <w:szCs w:val="20"/>
              </w:rPr>
              <w:t>landscaped strip along the entire length of frontage (excluding those areas required for site access purposes) with a minimum dimension of:</w:t>
            </w:r>
          </w:p>
          <w:tbl>
            <w:tblPr>
              <w:tblW w:w="5638" w:type="dxa"/>
              <w:tblCellSpacing w:w="15" w:type="dxa"/>
              <w:tblInd w:w="72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581"/>
              <w:gridCol w:w="1957"/>
              <w:gridCol w:w="50"/>
            </w:tblGrid>
            <w:tr w:rsidR="007E10F1" w:rsidRPr="007E10F1" w:rsidTr="007E10F1">
              <w:trPr>
                <w:gridBefore w:val="1"/>
                <w:gridAfter w:val="1"/>
                <w:wBefore w:w="5" w:type="dxa"/>
                <w:wAfter w:w="5" w:type="dxa"/>
                <w:trHeight w:val="223"/>
                <w:tblCellSpacing w:w="15" w:type="dxa"/>
              </w:trPr>
              <w:tc>
                <w:tcPr>
                  <w:tcW w:w="355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jc w:val="center"/>
                    <w:rPr>
                      <w:rFonts w:ascii="Arial" w:hAnsi="Arial" w:cs="Arial"/>
                      <w:b/>
                      <w:bCs/>
                      <w:sz w:val="20"/>
                      <w:szCs w:val="20"/>
                    </w:rPr>
                  </w:pPr>
                  <w:r w:rsidRPr="007E10F1">
                    <w:rPr>
                      <w:rFonts w:ascii="Arial" w:hAnsi="Arial" w:cs="Arial"/>
                      <w:b/>
                      <w:bCs/>
                      <w:sz w:val="20"/>
                      <w:szCs w:val="20"/>
                    </w:rPr>
                    <w:t>Zone, precinct, sub-precinct</w:t>
                  </w:r>
                </w:p>
              </w:tc>
              <w:tc>
                <w:tcPr>
                  <w:tcW w:w="192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jc w:val="center"/>
                    <w:rPr>
                      <w:rFonts w:ascii="Arial" w:hAnsi="Arial" w:cs="Arial"/>
                      <w:b/>
                      <w:bCs/>
                      <w:sz w:val="20"/>
                      <w:szCs w:val="20"/>
                    </w:rPr>
                  </w:pPr>
                  <w:r w:rsidRPr="007E10F1">
                    <w:rPr>
                      <w:rFonts w:ascii="Arial" w:hAnsi="Arial" w:cs="Arial"/>
                      <w:b/>
                      <w:bCs/>
                      <w:sz w:val="20"/>
                      <w:szCs w:val="20"/>
                    </w:rPr>
                    <w:t>Minimum dimension</w:t>
                  </w:r>
                </w:p>
              </w:tc>
            </w:tr>
            <w:tr w:rsidR="007E10F1" w:rsidRPr="007E10F1" w:rsidTr="007E10F1">
              <w:trPr>
                <w:gridBefore w:val="1"/>
                <w:gridAfter w:val="1"/>
                <w:wBefore w:w="5" w:type="dxa"/>
                <w:wAfter w:w="5" w:type="dxa"/>
                <w:trHeight w:val="4149"/>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Emerging community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Transition precinct (developed lot)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General residential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Next generation neighbourhood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Township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Residential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Caboolture West local plan:</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Urban living precinct - Next generation neighbourhood sub precinct</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Town centre precinct - Residential south sub-precinct</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metres</w:t>
                  </w:r>
                </w:p>
              </w:tc>
            </w:tr>
            <w:tr w:rsidR="007E10F1" w:rsidRPr="007E10F1" w:rsidTr="007E10F1">
              <w:trPr>
                <w:gridBefore w:val="1"/>
                <w:gridAfter w:val="1"/>
                <w:wBefore w:w="5" w:type="dxa"/>
                <w:wAfter w:w="5" w:type="dxa"/>
                <w:trHeight w:val="1955"/>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General residential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Urban neighbourhood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Caboolture West local plan:</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Town centre precinct - Residential north sub-precinct</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1.0 metre</w:t>
                  </w:r>
                </w:p>
              </w:tc>
            </w:tr>
            <w:tr w:rsidR="007E10F1" w:rsidRPr="007E10F1" w:rsidTr="007E10F1">
              <w:trPr>
                <w:gridBefore w:val="1"/>
                <w:gridAfter w:val="1"/>
                <w:wBefore w:w="5" w:type="dxa"/>
                <w:wAfter w:w="5" w:type="dxa"/>
                <w:trHeight w:val="223"/>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zones, precincts and sub-precincts</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metres </w:t>
                  </w:r>
                </w:p>
              </w:tc>
            </w:tr>
            <w:tr w:rsidR="007E10F1" w:rsidRPr="007E10F1" w:rsidTr="007E10F1">
              <w:tblPrEx>
                <w:tblBorders>
                  <w:top w:val="none" w:sz="0" w:space="0" w:color="auto"/>
                  <w:left w:val="none" w:sz="0" w:space="0" w:color="auto"/>
                  <w:bottom w:val="none" w:sz="0" w:space="0" w:color="auto"/>
                  <w:right w:val="none" w:sz="0" w:space="0" w:color="auto"/>
                </w:tblBorders>
              </w:tblPrEx>
              <w:trPr>
                <w:trHeight w:val="670"/>
                <w:tblCellSpacing w:w="15" w:type="dxa"/>
              </w:trPr>
              <w:tc>
                <w:tcPr>
                  <w:tcW w:w="5578" w:type="dxa"/>
                  <w:gridSpan w:val="4"/>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Note - The landscaping strip is not for screening purposes.  This strip is to enhance the streetscape and character of the area, soften buildings and other areas within the development, and contribute to a pleasant and safe environment, while maintaining CPTED principles.</w:t>
                  </w:r>
                </w:p>
              </w:tc>
            </w:tr>
          </w:tbl>
          <w:p w:rsidR="007E10F1" w:rsidRPr="007E10F1" w:rsidRDefault="007E10F1" w:rsidP="007E10F1">
            <w:pPr>
              <w:pStyle w:val="NormalWeb"/>
              <w:numPr>
                <w:ilvl w:val="0"/>
                <w:numId w:val="20"/>
              </w:numPr>
              <w:rPr>
                <w:rFonts w:ascii="Arial" w:hAnsi="Arial" w:cs="Arial"/>
                <w:sz w:val="20"/>
                <w:szCs w:val="20"/>
              </w:rPr>
            </w:pPr>
            <w:r w:rsidRPr="007E10F1">
              <w:rPr>
                <w:rFonts w:ascii="Arial" w:hAnsi="Arial" w:cs="Arial"/>
                <w:sz w:val="20"/>
                <w:szCs w:val="20"/>
              </w:rPr>
              <w:t>shade and canopy trees consistent with Planning scheme policy - Integrated design.</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19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Multiple dwellings with a shared driveway within 3m of a side boundary provide a landscaped strip between the shared driveway and the side boundary.  The landscaped strip is to have a minimum dimension of 1.0m for at least 80% of the length of the driveway including at least the first 10m from the street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19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provides 5% of the lot area with deep planting zones with a minimum dimension of 4m.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Integrated design for selection of suitable species.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Deep planting zones can be provided in private or communal open space or in front landscaping strip(s).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contributes to the greening of the streetscape through the provision of:</w:t>
            </w:r>
          </w:p>
          <w:p w:rsidR="007E10F1" w:rsidRPr="007E10F1" w:rsidRDefault="007E10F1" w:rsidP="007E10F1">
            <w:pPr>
              <w:pStyle w:val="NormalWeb"/>
              <w:numPr>
                <w:ilvl w:val="0"/>
                <w:numId w:val="21"/>
              </w:numPr>
              <w:rPr>
                <w:rFonts w:ascii="Arial" w:hAnsi="Arial" w:cs="Arial"/>
                <w:sz w:val="20"/>
                <w:szCs w:val="20"/>
              </w:rPr>
            </w:pPr>
            <w:r w:rsidRPr="007E10F1">
              <w:rPr>
                <w:rFonts w:ascii="Arial" w:hAnsi="Arial" w:cs="Arial"/>
                <w:sz w:val="20"/>
                <w:szCs w:val="20"/>
              </w:rPr>
              <w:t>street trees, planter boxes, green walls or roof tops etc for buildings that are built to the boundary; or</w:t>
            </w:r>
          </w:p>
          <w:p w:rsidR="007E10F1" w:rsidRPr="007E10F1" w:rsidRDefault="007E10F1" w:rsidP="007E10F1">
            <w:pPr>
              <w:pStyle w:val="NormalWeb"/>
              <w:numPr>
                <w:ilvl w:val="0"/>
                <w:numId w:val="21"/>
              </w:numPr>
              <w:rPr>
                <w:rFonts w:ascii="Arial" w:hAnsi="Arial" w:cs="Arial"/>
                <w:sz w:val="20"/>
                <w:szCs w:val="20"/>
              </w:rPr>
            </w:pPr>
            <w:r w:rsidRPr="007E10F1">
              <w:rPr>
                <w:rFonts w:ascii="Arial" w:hAnsi="Arial" w:cs="Arial"/>
                <w:sz w:val="20"/>
                <w:szCs w:val="20"/>
              </w:rPr>
              <w:t>landscaped strip for buildings that are setback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Basement car parks that protrude above ground level are setback behind screen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Landscaping can be provided in a planter box.</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Screening – fences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Fencing and screening complements the streetscape character, active frontages, clearly defines public and private domains, </w:t>
            </w:r>
            <w:r w:rsidRPr="007E10F1">
              <w:rPr>
                <w:rFonts w:ascii="Arial" w:hAnsi="Arial" w:cs="Arial"/>
                <w:sz w:val="20"/>
                <w:szCs w:val="20"/>
              </w:rPr>
              <w:lastRenderedPageBreak/>
              <w:t>while maintaining surveillance between buildings and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Note - The objective of providing surveillance of the street and active frontages takes precedence over the provision of physical barriers for noise mitigation purposes. Where a barrier for noise is unavoidable it is to be aesthetically treated in accordance with an option detailed in Planning scheme policy - Residential design.</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provided, fencing within a setback to a primary or secondary frontage (excluding a laneway) is:</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t>no less than</w:t>
            </w:r>
            <w:r w:rsidRPr="007E10F1">
              <w:rPr>
                <w:rStyle w:val="Emphasis"/>
                <w:rFonts w:ascii="Arial" w:hAnsi="Arial" w:cs="Arial"/>
                <w:sz w:val="20"/>
                <w:szCs w:val="20"/>
              </w:rPr>
              <w:t> </w:t>
            </w:r>
            <w:r w:rsidRPr="007E10F1">
              <w:rPr>
                <w:rFonts w:ascii="Arial" w:hAnsi="Arial" w:cs="Arial"/>
                <w:sz w:val="20"/>
                <w:szCs w:val="20"/>
              </w:rPr>
              <w:t>0% transparent and does not exceed 1.2 metres in height; or</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lastRenderedPageBreak/>
              <w:t>no less than 50% transparent and does not exceed 1.5 metres in height; or</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t>no less than 85% transparent and does not exceed 1.8 metres in height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Side and rear fencing and fencing between ground floor private open space areas must be solid (0% transparent) with a maximum height of 1.8m.</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Integrated development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connect to and form part of the surrounding neighbourhood by providing interconnected street, pedestrian and cyclist pathways to adjoining development, nearby centres, neighbourhood hubs, community facilities, public transport nodes and open space;</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ensure dwellings address public spaces external to the lot;</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not include high perimeter fences or walls adjoining roads and public spaces that cause the development to:</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be segregated or visually disconnected from adjoining properties; or</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detract from or constrain the delivery of a clear and open, visually attractive streetscape; or </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 xml:space="preserve">potentially reduce personal safety and </w:t>
            </w:r>
            <w:r w:rsidRPr="007E10F1">
              <w:rPr>
                <w:rFonts w:ascii="Arial" w:hAnsi="Arial" w:cs="Arial"/>
                <w:sz w:val="20"/>
                <w:szCs w:val="20"/>
              </w:rPr>
              <w:lastRenderedPageBreak/>
              <w:t>casual surveillance of adjoining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Overlay map - Community activities and neighbourhood hubs for the location of neighbourhood hubs.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E12.1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Developments provide pedestrian pathways and connections from the lot via the most direct route to nearby centres, neighbourhood hubs, community facilities, public transport stops and open space.</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the end of a road or a pedestrian and cycle pathway adjoin the lot, extensions to the road or pathway through the lot are to be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22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that adjoin the external road network or public open space address that frontage with a pedestrian entry, front door, windows, and fencing with a maximum height of 1.2m if any.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for large scale residential developments where the site area is more than 6,000m</w:t>
            </w:r>
            <w:r w:rsidRPr="007E10F1">
              <w:rPr>
                <w:rFonts w:ascii="Arial" w:hAnsi="Arial" w:cs="Arial"/>
                <w:sz w:val="20"/>
                <w:szCs w:val="20"/>
                <w:vertAlign w:val="superscript"/>
              </w:rPr>
              <w:t>2</w:t>
            </w:r>
            <w:r w:rsidRPr="007E10F1">
              <w:rPr>
                <w:rFonts w:ascii="Arial" w:hAnsi="Arial" w:cs="Arial"/>
                <w:sz w:val="20"/>
                <w:szCs w:val="20"/>
              </w:rPr>
              <w:t xml:space="preserve"> result in neighbourhoods that:</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are interconnected by safe, legible and permeable movement networks, this may include the establishment or extension of public streets and pathways;</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are integrated with surrounding existing and approved developments;</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develop in a manner that does not  compromise the ability for adjoining sites to develop in a logical, sequential and integrated manner;</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provide or have convenient access to centrally located local parks and a network of open space;</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promote accessibility to parks and open space, transport facilities, neighbourhood hubs and community facilities.</w:t>
            </w: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On a lot of 6000m</w:t>
            </w:r>
            <w:r w:rsidRPr="007E10F1">
              <w:rPr>
                <w:rFonts w:ascii="Arial" w:hAnsi="Arial" w:cs="Arial"/>
                <w:sz w:val="20"/>
                <w:szCs w:val="20"/>
                <w:vertAlign w:val="superscript"/>
              </w:rPr>
              <w:t>2</w:t>
            </w:r>
            <w:r w:rsidRPr="007E10F1">
              <w:rPr>
                <w:rFonts w:ascii="Arial" w:hAnsi="Arial" w:cs="Arial"/>
                <w:sz w:val="20"/>
                <w:szCs w:val="20"/>
              </w:rPr>
              <w:t xml:space="preserve"> or greater, prepare an integration plan in accordance with Planning scheme policy - Neighbourhood design.</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Building appearance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Buildings are designed to:</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incorporate architectural features into the building façade at street level to create human scale;</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promote identity and diversity between adjacent dwellings;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enable individual dwellings to be identified and directly accessible from public streets and communal areas;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visually integrate with the intended character of the precinct through appropriate design and materials;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avoid blank walls (excluding built to boundary walls) through articulation and architectural treatments to create visual interest;</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include roof forms that provide visual interest to both the building and the skyline and effectively screen service structure, plant and equipment from view of the street and adjoining buildings;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provide a design that enables permeability between buildings;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create attractive backs and sides of buildings where visible from public spaces;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ensure domestic outbuildings do not dominate the street frontage and do not have a negative impact on the streetscape character;</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where for tall buildings, provide architectural variation through a distinct top, middle and base section.</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lastRenderedPageBreak/>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Walls are sited and designed to minimise negative impacts on internal and external amenity and create visual interest by incorporating articulation and architectural treatments.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 xml:space="preserve">The maximum length of any wall is 15m. </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Walls or parts of walls that include a change in direction of 1m or more are measured separately.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Privacy</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provided with private open space areas and habitable rooms with a reasonable level of privacy from adjoining residential uses.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Minimise views into habitable room windows, and private open space from adjoining residential uses by:</w:t>
            </w:r>
          </w:p>
          <w:p w:rsidR="007E10F1" w:rsidRPr="007E10F1" w:rsidRDefault="007E10F1" w:rsidP="007E10F1">
            <w:pPr>
              <w:pStyle w:val="NormalWeb"/>
              <w:numPr>
                <w:ilvl w:val="0"/>
                <w:numId w:val="26"/>
              </w:numPr>
              <w:rPr>
                <w:rFonts w:ascii="Arial" w:hAnsi="Arial" w:cs="Arial"/>
                <w:sz w:val="20"/>
                <w:szCs w:val="20"/>
              </w:rPr>
            </w:pPr>
            <w:r w:rsidRPr="007E10F1">
              <w:rPr>
                <w:rFonts w:ascii="Arial" w:hAnsi="Arial" w:cs="Arial"/>
                <w:sz w:val="20"/>
                <w:szCs w:val="20"/>
              </w:rPr>
              <w:t>offsetting adjacent habitable room windows and balconies; or</w:t>
            </w:r>
          </w:p>
          <w:p w:rsidR="007E10F1" w:rsidRPr="007E10F1" w:rsidRDefault="007E10F1" w:rsidP="007E10F1">
            <w:pPr>
              <w:pStyle w:val="NormalWeb"/>
              <w:numPr>
                <w:ilvl w:val="0"/>
                <w:numId w:val="26"/>
              </w:numPr>
              <w:rPr>
                <w:rFonts w:ascii="Arial" w:hAnsi="Arial" w:cs="Arial"/>
                <w:sz w:val="20"/>
                <w:szCs w:val="20"/>
              </w:rPr>
            </w:pPr>
            <w:r w:rsidRPr="007E10F1">
              <w:rPr>
                <w:rFonts w:ascii="Arial" w:hAnsi="Arial" w:cs="Arial"/>
                <w:sz w:val="20"/>
                <w:szCs w:val="20"/>
              </w:rPr>
              <w:t>use high quality screening, obscured glazing or separation.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In addition to the above the outlook from stairs, landings</w:t>
                  </w:r>
                  <w:r w:rsidRPr="006C517C">
                    <w:rPr>
                      <w:rFonts w:ascii="Arial" w:hAnsi="Arial" w:cs="Arial"/>
                      <w:sz w:val="18"/>
                      <w:szCs w:val="20"/>
                      <w:vertAlign w:val="superscript"/>
                    </w:rPr>
                    <w:t>(</w:t>
                  </w:r>
                  <w:hyperlink r:id="rId34" w:anchor="target-d768251e571311" w:tooltip="Landing - A structure for mooring, launching, storage and retrieval of vessels where passengers embark and disembark." w:history="1">
                    <w:r w:rsidRPr="006C517C">
                      <w:rPr>
                        <w:rStyle w:val="Hyperlink"/>
                        <w:rFonts w:ascii="Arial" w:hAnsi="Arial" w:cs="Arial"/>
                        <w:sz w:val="18"/>
                        <w:szCs w:val="20"/>
                        <w:vertAlign w:val="superscript"/>
                      </w:rPr>
                      <w:t>41</w:t>
                    </w:r>
                  </w:hyperlink>
                  <w:r w:rsidRPr="006C517C">
                    <w:rPr>
                      <w:rFonts w:ascii="Arial" w:hAnsi="Arial" w:cs="Arial"/>
                      <w:sz w:val="18"/>
                      <w:szCs w:val="20"/>
                      <w:vertAlign w:val="superscript"/>
                    </w:rPr>
                    <w:t>)</w:t>
                  </w:r>
                  <w:r w:rsidRPr="006C517C">
                    <w:rPr>
                      <w:rFonts w:ascii="Arial" w:hAnsi="Arial" w:cs="Arial"/>
                      <w:sz w:val="18"/>
                      <w:szCs w:val="20"/>
                    </w:rPr>
                    <w:t>, and communal or public areas is minimised where direct views are available into private open space of an existing dwelling.</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Casual surveillance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PO17</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Buildings and structures are designed and oriented to have active frontages that provide visual interest, address road frontages and facilitate casual surveillance of all public spaces (streets, laneways, public open space, pedestrian paths and car parking areas) through:</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t>incorporating habitable room windows, balconies and foyers that overlook public spaces;</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t>emphasising the pedestrian entry so that it is easily identifiable and safely accessible from the primary frontage;</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lastRenderedPageBreak/>
              <w:t>if located on a street corner, the building addresses and overlooks both frontages.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State Government standards for CPTED.</w:t>
                  </w:r>
                </w:p>
              </w:tc>
            </w:tr>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Ground floor dwellings adjoining a street or public open space have individual access points to the street.</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p w:rsidR="007E10F1" w:rsidRPr="007E10F1" w:rsidRDefault="007E10F1" w:rsidP="007E10F1">
            <w:pPr>
              <w:spacing w:after="240"/>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Subtropical design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6C517C">
        <w:trPr>
          <w:trHeight w:val="656"/>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incorporates subtropical design principles that respond to Moreton Bay’s climate in a manner which minimises reliance on non-renewable energy sources for heating, cooling or ventilation and promotes local character and identity and encourage outdoor living.</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Buildings are sited and designed to:</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maximise orientation of principal living and open space areas to the north-east and eastern sides of dwellings where not compromising casual surveillance;</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screen undesirable western sun;</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maximise the use of prevailing breezes for natural ventilation;</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have living areas adjoining open space;</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incorporate architectural features such as extended eaves, awnings, pergolas and verandah’s to protect windows and doorways from summer sun, glare, rain and prevailing winds and to provide shelter for outdoor living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the Subtropical Design in South East Queensland: A Handbook for Planners, Developers and Decision Makers.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Utility areas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Utility areas, services and mechanical plant are visually integrated into the design of the building or are at least screened from view from adjacent dwellings and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lastRenderedPageBreak/>
                    <w:t>Note - Refer to Planning scheme policy - Residential design for details and examples.</w:t>
                  </w:r>
                </w:p>
              </w:tc>
            </w:tr>
            <w:tr w:rsidR="007E10F1" w:rsidRPr="007E10F1" w:rsidTr="007E10F1">
              <w:trPr>
                <w:tblCellSpacing w:w="15" w:type="dxa"/>
              </w:trPr>
              <w:tc>
                <w:tcPr>
                  <w:tcW w:w="1833" w:type="dxa"/>
                  <w:vAlign w:val="center"/>
                  <w:hideMark/>
                </w:tcPr>
                <w:p w:rsidR="007E10F1" w:rsidRPr="006C517C" w:rsidRDefault="007E10F1" w:rsidP="007E10F1">
                  <w:pPr>
                    <w:rPr>
                      <w:rFonts w:ascii="Arial" w:eastAsia="Times New Roman" w:hAnsi="Arial" w:cs="Arial"/>
                      <w:sz w:val="18"/>
                      <w:szCs w:val="20"/>
                    </w:rPr>
                  </w:pPr>
                  <w:r w:rsidRPr="006C517C">
                    <w:rPr>
                      <w:rFonts w:ascii="Arial" w:eastAsia="Times New Roman" w:hAnsi="Arial" w:cs="Arial"/>
                      <w:sz w:val="18"/>
                      <w:szCs w:val="20"/>
                    </w:rPr>
                    <w:t>Note - Utilities include but are not limited to electrical transformers.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Clothes drying, storage and mail collection facilities:</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are provided for site users;</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are integrated within the development;</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do not impact on the residential amenity of the lot, adjoining properties or the streetscape (clothes drying and storage areas are not visible from public spaces; mail collection facilities are visible and accessible for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r w:rsidRPr="007E10F1">
              <w:rPr>
                <w:rStyle w:val="Emphasis"/>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Lighting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Lighting is designed to provide adequate levels of illumination to public and communal spaces to maximise safety and minimise adverse impacts on residents and neighbours.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In all areas accessible to the public lighting is provided in accordance with Section 3 of AS 1158.3.1 </w:t>
            </w:r>
            <w:r w:rsidRPr="007E10F1">
              <w:rPr>
                <w:rStyle w:val="Emphasis"/>
                <w:rFonts w:ascii="Arial" w:hAnsi="Arial" w:cs="Arial"/>
                <w:sz w:val="20"/>
                <w:szCs w:val="20"/>
              </w:rPr>
              <w:t>Pedestrian Area (Category P) Lighting -Performance and installation design requirements</w:t>
            </w:r>
            <w:r w:rsidRPr="007E10F1">
              <w:rPr>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Lighting of appropriate intensities is provided which satisfies the requirements of </w:t>
            </w:r>
            <w:r w:rsidRPr="007E10F1">
              <w:rPr>
                <w:rStyle w:val="Emphasis"/>
                <w:rFonts w:ascii="Arial" w:hAnsi="Arial" w:cs="Arial"/>
                <w:sz w:val="20"/>
                <w:szCs w:val="20"/>
              </w:rPr>
              <w:t>AS1158 – Lighting for Roads and Public Spaces</w:t>
            </w:r>
            <w:r w:rsidRPr="007E10F1">
              <w:rPr>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Artificial lighting does not cause unreasonable disturbance to any person on adjacent land or on land within the general vicinity of the lot.</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 xml:space="preserve">Artificial lighting within the lot is directed and shielded in such a manner to comply with the requirements of Australian Standard </w:t>
            </w:r>
            <w:r w:rsidRPr="007E10F1">
              <w:rPr>
                <w:rStyle w:val="Emphasis"/>
                <w:rFonts w:ascii="Arial" w:hAnsi="Arial" w:cs="Arial"/>
                <w:sz w:val="20"/>
                <w:szCs w:val="20"/>
              </w:rPr>
              <w:t>AS4282 (1997) Control of Obtrusive Effects of Outdoor Lighting</w:t>
            </w:r>
            <w:r w:rsidRPr="007E10F1">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For purposes of that table, “curfew hours” are taken to be those hours between 10pm and 7am on the following day.</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Waste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165"/>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Bins and bin storage areas are provided, designed and managed so as to:</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be accessible for collection;</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be maintained (including cleaning);</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not have a negative impact on the amenity of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Waste for storage, design and management methods.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 meet the criteria in the Planning scheme policy - Waste and is demonstrated in a waste management program.</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Waste storage areas are:</w:t>
            </w:r>
          </w:p>
          <w:p w:rsidR="007E10F1" w:rsidRPr="007E10F1" w:rsidRDefault="007E10F1" w:rsidP="007E10F1">
            <w:pPr>
              <w:pStyle w:val="NormalWeb"/>
              <w:numPr>
                <w:ilvl w:val="0"/>
                <w:numId w:val="31"/>
              </w:numPr>
              <w:rPr>
                <w:rFonts w:ascii="Arial" w:hAnsi="Arial" w:cs="Arial"/>
                <w:sz w:val="20"/>
                <w:szCs w:val="20"/>
              </w:rPr>
            </w:pPr>
            <w:r w:rsidRPr="007E10F1">
              <w:rPr>
                <w:rFonts w:ascii="Arial" w:hAnsi="Arial" w:cs="Arial"/>
                <w:sz w:val="20"/>
                <w:szCs w:val="20"/>
              </w:rPr>
              <w:t>not located in front of the main building line; or</w:t>
            </w:r>
          </w:p>
          <w:p w:rsidR="007E10F1" w:rsidRPr="007E10F1" w:rsidRDefault="007E10F1" w:rsidP="007E10F1">
            <w:pPr>
              <w:pStyle w:val="NormalWeb"/>
              <w:numPr>
                <w:ilvl w:val="0"/>
                <w:numId w:val="31"/>
              </w:numPr>
              <w:rPr>
                <w:rFonts w:ascii="Arial" w:hAnsi="Arial" w:cs="Arial"/>
                <w:sz w:val="20"/>
                <w:szCs w:val="20"/>
              </w:rPr>
            </w:pPr>
            <w:r w:rsidRPr="007E10F1">
              <w:rPr>
                <w:rFonts w:ascii="Arial" w:hAnsi="Arial" w:cs="Arial"/>
                <w:sz w:val="20"/>
                <w:szCs w:val="20"/>
              </w:rPr>
              <w:t>are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Storage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Adequate storage for residents recreation, bulky, outdoor or work equipment is provided on-site in addition to habitable areas and bicycle storage. Storage is to be located on site so as to not be visible from the street or public spaces.</w:t>
            </w:r>
          </w:p>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E25.1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Each dwelling is provided with a storage area having a minimum size of 8m</w:t>
            </w:r>
            <w:r w:rsidRPr="007E10F1">
              <w:rPr>
                <w:rFonts w:ascii="Arial" w:hAnsi="Arial" w:cs="Arial"/>
                <w:sz w:val="20"/>
                <w:szCs w:val="20"/>
                <w:vertAlign w:val="superscript"/>
              </w:rPr>
              <w:t>3</w:t>
            </w:r>
            <w:r w:rsidRPr="007E10F1">
              <w:rPr>
                <w:rFonts w:ascii="Arial" w:hAnsi="Arial" w:cs="Arial"/>
                <w:sz w:val="20"/>
                <w:szCs w:val="20"/>
              </w:rPr>
              <w:t> with minimum dimension of 0.5m in all directions.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Storage areas can be co-located in garages, allocated car park areas in basements; or incorporated into building design. This storage area excludes parts of the dwelling used in conjunction with a habitable room (e.g. wardrobes in bedrooms) or where performing an integral part in the rooms use (e.g. cupboards in the kitchen or laundry).</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E25.2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Storage areas are located behind the main building line and not within the primary or secondary frontage setbacks.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Adaptable development</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 locations that are in proximity to high frequency public transport services or within centres support adaptable building use (mixed use) over time particularly on the ground floor.</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New residential buildings in the Centre zone or Township zone - Centre precinct include a minimum floor to ceiling height of 4.2m for the ground floor.</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Earthworks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2730"/>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PO27</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 respond to sloping topography in the siting, design and form of buildings and structures by:</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minimising overuse of cut and fill to create single flat pads and benching;</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avoiding expanses of retaining walls, loss of trees and vegetation and interference with natural drainage systems;</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minimising any impact on the landscape character of the zone;</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lastRenderedPageBreak/>
              <w:t>protecting the amenity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This is a quantifiable standard that relates to the amenity and aesthetic impacts of the building or structure.</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E27.1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 and lot design on slopes between 10% and 15% must: </w:t>
            </w:r>
          </w:p>
          <w:p w:rsidR="007E10F1" w:rsidRPr="007E10F1" w:rsidRDefault="007E10F1" w:rsidP="007E10F1">
            <w:pPr>
              <w:pStyle w:val="NormalWeb"/>
              <w:numPr>
                <w:ilvl w:val="0"/>
                <w:numId w:val="33"/>
              </w:numPr>
              <w:rPr>
                <w:rFonts w:ascii="Arial" w:hAnsi="Arial" w:cs="Arial"/>
                <w:sz w:val="20"/>
                <w:szCs w:val="20"/>
              </w:rPr>
            </w:pPr>
            <w:r w:rsidRPr="007E10F1">
              <w:rPr>
                <w:rFonts w:ascii="Arial" w:hAnsi="Arial" w:cs="Arial"/>
                <w:sz w:val="20"/>
                <w:szCs w:val="20"/>
              </w:rPr>
              <w:t>avoid single-plane slabs and benching with the use of split-level, multiple-slab, pier or pole construction;</w:t>
            </w:r>
          </w:p>
          <w:p w:rsidR="007E10F1" w:rsidRPr="007E10F1" w:rsidRDefault="007E10F1" w:rsidP="007E10F1">
            <w:pPr>
              <w:pStyle w:val="NormalWeb"/>
              <w:numPr>
                <w:ilvl w:val="0"/>
                <w:numId w:val="33"/>
              </w:numPr>
              <w:rPr>
                <w:rFonts w:ascii="Arial" w:hAnsi="Arial" w:cs="Arial"/>
                <w:sz w:val="20"/>
                <w:szCs w:val="20"/>
              </w:rPr>
            </w:pPr>
            <w:r w:rsidRPr="007E10F1">
              <w:rPr>
                <w:rFonts w:ascii="Arial" w:hAnsi="Arial" w:cs="Arial"/>
                <w:sz w:val="20"/>
                <w:szCs w:val="20"/>
              </w:rPr>
              <w:t>have built to boundary walls on the low side of the lot to avoid drainage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For development on slopes of 15% or greater refer to the constraint provisions contained in the relevant zone code.</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6C517C">
        <w:trPr>
          <w:trHeight w:val="20"/>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E27.2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New buildings on land with a slope greater than 15% do not have slab on ground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This is a quantifiable standard that relates to the amenity and aesthetic impacts of the building or structure.</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There is no height specified for fill or excavation wholly contained within the dwelling footprint (i.e. the area within the outer structural extremities of the dwelling).</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Development on a laneway</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At least one dwelling (preferably the primary dwelling if for a Dual occupancy</w:t>
            </w:r>
            <w:r w:rsidRPr="007E10F1">
              <w:rPr>
                <w:rFonts w:ascii="Arial" w:hAnsi="Arial" w:cs="Arial"/>
                <w:sz w:val="20"/>
                <w:szCs w:val="20"/>
                <w:vertAlign w:val="superscript"/>
              </w:rPr>
              <w:t>(</w:t>
            </w:r>
            <w:hyperlink r:id="rId35"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w:t>
            </w:r>
          </w:p>
          <w:p w:rsidR="007E10F1" w:rsidRPr="007E10F1" w:rsidRDefault="007E10F1" w:rsidP="007E10F1">
            <w:pPr>
              <w:pStyle w:val="NormalWeb"/>
              <w:numPr>
                <w:ilvl w:val="0"/>
                <w:numId w:val="34"/>
              </w:numPr>
              <w:rPr>
                <w:rFonts w:ascii="Arial" w:hAnsi="Arial" w:cs="Arial"/>
                <w:sz w:val="20"/>
                <w:szCs w:val="20"/>
              </w:rPr>
            </w:pPr>
            <w:r w:rsidRPr="007E10F1">
              <w:rPr>
                <w:rFonts w:ascii="Arial" w:hAnsi="Arial" w:cs="Arial"/>
                <w:sz w:val="20"/>
                <w:szCs w:val="20"/>
              </w:rPr>
              <w:t>face the non-laneway frontage;</w:t>
            </w:r>
          </w:p>
          <w:p w:rsidR="007E10F1" w:rsidRPr="007E10F1" w:rsidRDefault="007E10F1" w:rsidP="007E10F1">
            <w:pPr>
              <w:pStyle w:val="NormalWeb"/>
              <w:numPr>
                <w:ilvl w:val="0"/>
                <w:numId w:val="34"/>
              </w:numPr>
              <w:rPr>
                <w:rFonts w:ascii="Arial" w:hAnsi="Arial" w:cs="Arial"/>
                <w:sz w:val="20"/>
                <w:szCs w:val="20"/>
              </w:rPr>
            </w:pPr>
            <w:r w:rsidRPr="007E10F1">
              <w:rPr>
                <w:rFonts w:ascii="Arial" w:hAnsi="Arial" w:cs="Arial"/>
                <w:sz w:val="20"/>
                <w:szCs w:val="20"/>
              </w:rPr>
              <w:t>have the main entrance from the non-laneway frontage.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vehicle access must be via the laneway.</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rHeight w:val="2520"/>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PO30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on laneways contributes to the streetscape established in a laneway by:</w:t>
            </w:r>
          </w:p>
          <w:p w:rsidR="007E10F1" w:rsidRPr="007E10F1" w:rsidRDefault="007E10F1" w:rsidP="007E10F1">
            <w:pPr>
              <w:pStyle w:val="NormalWeb"/>
              <w:numPr>
                <w:ilvl w:val="0"/>
                <w:numId w:val="35"/>
              </w:numPr>
              <w:rPr>
                <w:rFonts w:ascii="Arial" w:hAnsi="Arial" w:cs="Arial"/>
                <w:sz w:val="20"/>
                <w:szCs w:val="20"/>
              </w:rPr>
            </w:pPr>
            <w:r w:rsidRPr="007E10F1">
              <w:rPr>
                <w:rFonts w:ascii="Arial" w:hAnsi="Arial" w:cs="Arial"/>
                <w:sz w:val="20"/>
                <w:szCs w:val="20"/>
              </w:rPr>
              <w:t>providing concealed garbage bin storage areas to reduce the dominance of bins on the lane;</w:t>
            </w:r>
          </w:p>
          <w:p w:rsidR="007E10F1" w:rsidRPr="007E10F1" w:rsidRDefault="007E10F1" w:rsidP="007E10F1">
            <w:pPr>
              <w:pStyle w:val="NormalWeb"/>
              <w:numPr>
                <w:ilvl w:val="0"/>
                <w:numId w:val="35"/>
              </w:numPr>
              <w:rPr>
                <w:rFonts w:ascii="Arial" w:hAnsi="Arial" w:cs="Arial"/>
                <w:sz w:val="20"/>
                <w:szCs w:val="20"/>
              </w:rPr>
            </w:pPr>
            <w:r w:rsidRPr="007E10F1">
              <w:rPr>
                <w:rFonts w:ascii="Arial" w:hAnsi="Arial" w:cs="Arial"/>
                <w:sz w:val="20"/>
                <w:szCs w:val="20"/>
              </w:rPr>
              <w:t>maximising security and amenity.</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E30.1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 screened garbage bin utility area is provided that:</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is not located in the garage;</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has a minimum area of 1m x 2m;</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has access to the laneway and not via the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E30.2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Fencing adjacent to a laneway does not exceed 1.8m in height.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Dual occupancies (Loft) on laneway lots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PO31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Dual occupancies</w:t>
            </w:r>
            <w:r w:rsidRPr="007E10F1">
              <w:rPr>
                <w:rFonts w:ascii="Arial" w:hAnsi="Arial" w:cs="Arial"/>
                <w:sz w:val="20"/>
                <w:szCs w:val="20"/>
                <w:vertAlign w:val="superscript"/>
              </w:rPr>
              <w:t>(</w:t>
            </w:r>
            <w:hyperlink r:id="rId36"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(lofts):</w:t>
            </w:r>
          </w:p>
          <w:p w:rsidR="007E10F1" w:rsidRPr="007E10F1" w:rsidRDefault="007E10F1" w:rsidP="007E10F1">
            <w:pPr>
              <w:pStyle w:val="NormalWeb"/>
              <w:numPr>
                <w:ilvl w:val="0"/>
                <w:numId w:val="37"/>
              </w:numPr>
              <w:rPr>
                <w:rFonts w:ascii="Arial" w:hAnsi="Arial" w:cs="Arial"/>
                <w:sz w:val="20"/>
                <w:szCs w:val="20"/>
              </w:rPr>
            </w:pPr>
            <w:r w:rsidRPr="007E10F1">
              <w:rPr>
                <w:rFonts w:ascii="Arial" w:hAnsi="Arial" w:cs="Arial"/>
                <w:sz w:val="20"/>
                <w:szCs w:val="20"/>
              </w:rPr>
              <w:t>are designed to:</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have the appearance, bulk and scale of a single dwelling from the street;</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positively contribute to the laneway;</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do not negatively impact the expected amenity of adjoining properties;</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have sufficient area for the siting of all buildings, structures, landscaping and car parking spaces for the number of occupants anticipated to occur on-site.</w:t>
            </w:r>
          </w:p>
          <w:p w:rsidR="007E10F1" w:rsidRPr="007E10F1" w:rsidRDefault="007E10F1" w:rsidP="007E10F1">
            <w:pPr>
              <w:pStyle w:val="NormalWeb"/>
              <w:numPr>
                <w:ilvl w:val="0"/>
                <w:numId w:val="38"/>
              </w:numPr>
              <w:rPr>
                <w:rFonts w:ascii="Arial" w:hAnsi="Arial" w:cs="Arial"/>
                <w:sz w:val="20"/>
                <w:szCs w:val="20"/>
              </w:rPr>
            </w:pPr>
            <w:r w:rsidRPr="007E10F1">
              <w:rPr>
                <w:rFonts w:ascii="Arial" w:hAnsi="Arial" w:cs="Arial"/>
                <w:sz w:val="20"/>
                <w:szCs w:val="20"/>
              </w:rPr>
              <w:t>support affordable living by means of:</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economical dwelling size and construction;</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efficient use of land;</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low maintenance costs;</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access to natural light, ventilation and heating;</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provide high quality living and private open space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siting and design of dwellings ensures that the loft is:</w:t>
            </w:r>
          </w:p>
          <w:p w:rsidR="007E10F1" w:rsidRPr="007E10F1" w:rsidRDefault="007E10F1" w:rsidP="007E10F1">
            <w:pPr>
              <w:pStyle w:val="NormalWeb"/>
              <w:numPr>
                <w:ilvl w:val="0"/>
                <w:numId w:val="39"/>
              </w:numPr>
              <w:rPr>
                <w:rFonts w:ascii="Arial" w:hAnsi="Arial" w:cs="Arial"/>
                <w:sz w:val="20"/>
                <w:szCs w:val="20"/>
              </w:rPr>
            </w:pPr>
            <w:r w:rsidRPr="007E10F1">
              <w:rPr>
                <w:rFonts w:ascii="Arial" w:hAnsi="Arial" w:cs="Arial"/>
                <w:sz w:val="20"/>
                <w:szCs w:val="20"/>
              </w:rPr>
              <w:t>not located in front of the primary dwelling (for the primary frontage);</w:t>
            </w:r>
          </w:p>
          <w:p w:rsidR="007E10F1" w:rsidRPr="007E10F1" w:rsidRDefault="007E10F1" w:rsidP="007E10F1">
            <w:pPr>
              <w:pStyle w:val="NormalWeb"/>
              <w:numPr>
                <w:ilvl w:val="0"/>
                <w:numId w:val="39"/>
              </w:numPr>
              <w:rPr>
                <w:rFonts w:ascii="Arial" w:hAnsi="Arial" w:cs="Arial"/>
                <w:sz w:val="20"/>
                <w:szCs w:val="20"/>
              </w:rPr>
            </w:pPr>
            <w:r w:rsidRPr="007E10F1">
              <w:rPr>
                <w:rFonts w:ascii="Arial" w:hAnsi="Arial" w:cs="Arial"/>
                <w:sz w:val="20"/>
                <w:szCs w:val="20"/>
              </w:rPr>
              <w:t>annexed to (adjoining, below or above) or located within 10.0m of the primary dwelling (excluding domestic outbuildings).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On lots less than 450m</w:t>
            </w:r>
            <w:r w:rsidRPr="007E10F1">
              <w:rPr>
                <w:rFonts w:ascii="Arial" w:hAnsi="Arial" w:cs="Arial"/>
                <w:sz w:val="20"/>
                <w:szCs w:val="20"/>
                <w:vertAlign w:val="superscript"/>
              </w:rPr>
              <w:t>2</w:t>
            </w:r>
            <w:r w:rsidRPr="007E10F1">
              <w:rPr>
                <w:rFonts w:ascii="Arial" w:hAnsi="Arial" w:cs="Arial"/>
                <w:sz w:val="20"/>
                <w:szCs w:val="20"/>
              </w:rPr>
              <w:t>, a Dual occupancy</w:t>
            </w:r>
            <w:r w:rsidRPr="007E10F1">
              <w:rPr>
                <w:rFonts w:ascii="Arial" w:hAnsi="Arial" w:cs="Arial"/>
                <w:sz w:val="20"/>
                <w:szCs w:val="20"/>
                <w:vertAlign w:val="superscript"/>
              </w:rPr>
              <w:t>(</w:t>
            </w:r>
            <w:hyperlink r:id="rId3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(loft) is only permitted within a two-storey building. This includes being located above a garage facing a laneway.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loft has a clearly identifiable front door and under cover point of entry.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Lofts incorporate in all walls adjoining the primary dwelling and private open space areas of the primary dwelling:</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windows with a minimum sill height of 1500mm or privacy screening;</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low maintenance building materials and non-reflective finishes;</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no external drainage or other pipes.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private open space for a loft can be located adjoining the lane at ground floor or on a balcony.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bl>
    <w:p w:rsidR="00641E2E" w:rsidRDefault="00641E2E">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9.3.2.4 Car parking rates - General residential zone (Next generation neighbourhood precinct and Urban neighbourhood precinct), Emerging community zone (Transition precinct - Developed lot)</w:t>
            </w:r>
          </w:p>
        </w:tc>
      </w:tr>
      <w:tr w:rsidR="00495291" w:rsidRPr="00FE6C48" w:rsidTr="006C517C">
        <w:trPr>
          <w:tblCellSpacing w:w="15" w:type="dxa"/>
        </w:trPr>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Site Proximity</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Land use</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Minimum number of carspaces to be provided</w:t>
            </w:r>
          </w:p>
        </w:tc>
      </w:tr>
      <w:tr w:rsidR="00495291" w:rsidRPr="00FE6C48" w:rsidTr="006C517C">
        <w:trPr>
          <w:tblCellSpacing w:w="15" w:type="dxa"/>
        </w:trPr>
        <w:tc>
          <w:tcPr>
            <w:tcW w:w="1238"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lastRenderedPageBreak/>
              <w:t>Within 800m walking distance of a higher order centre</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w:t>
            </w:r>
          </w:p>
        </w:tc>
      </w:tr>
      <w:tr w:rsidR="00495291" w:rsidRPr="00FE6C48" w:rsidTr="006C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 </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3 per 4 dwellings + staff spaces</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5 dwellings + staff spaces</w:t>
            </w:r>
          </w:p>
        </w:tc>
      </w:tr>
      <w:tr w:rsidR="00495291" w:rsidRPr="00FE6C48" w:rsidTr="006C517C">
        <w:trPr>
          <w:tblCellSpacing w:w="15" w:type="dxa"/>
        </w:trPr>
        <w:tc>
          <w:tcPr>
            <w:tcW w:w="1238"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Other (Wider catchment)</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 </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w:t>
            </w:r>
          </w:p>
        </w:tc>
      </w:tr>
      <w:tr w:rsidR="00495291" w:rsidRPr="00FE6C48" w:rsidTr="006C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 + staff spaces</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5 dwellings + staff spaces</w:t>
            </w:r>
          </w:p>
        </w:tc>
      </w:tr>
    </w:tbl>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719"/>
        <w:gridCol w:w="11679"/>
      </w:tblGrid>
      <w:tr w:rsidR="00495291" w:rsidRPr="00FE6C48" w:rsidTr="001D6250">
        <w:trPr>
          <w:tblCellSpacing w:w="15" w:type="dxa"/>
        </w:trPr>
        <w:tc>
          <w:tcPr>
            <w:tcW w:w="0" w:type="auto"/>
            <w:gridSpan w:val="2"/>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9.3.2.5 Car parking rates - General residential zone (Suburban neighbourhood precinct and Coastal communities precinct) and Township zone</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495291" w:rsidRPr="00FE6C48" w:rsidRDefault="00495291" w:rsidP="001D6250">
            <w:pPr>
              <w:pStyle w:val="NormalWeb"/>
              <w:jc w:val="center"/>
              <w:rPr>
                <w:rFonts w:ascii="Arial" w:hAnsi="Arial" w:cs="Arial"/>
                <w:b/>
                <w:bCs/>
                <w:sz w:val="20"/>
                <w:szCs w:val="20"/>
              </w:rPr>
            </w:pPr>
            <w:r w:rsidRPr="00FE6C48">
              <w:rPr>
                <w:rStyle w:val="Strong"/>
                <w:rFonts w:ascii="Arial" w:hAnsi="Arial" w:cs="Arial"/>
                <w:sz w:val="20"/>
                <w:szCs w:val="20"/>
              </w:rPr>
              <w:t>Use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95291" w:rsidRPr="00FE6C48" w:rsidRDefault="00495291" w:rsidP="001D6250">
            <w:pPr>
              <w:pStyle w:val="NormalWeb"/>
              <w:jc w:val="center"/>
              <w:rPr>
                <w:rFonts w:ascii="Arial" w:hAnsi="Arial" w:cs="Arial"/>
                <w:b/>
                <w:bCs/>
                <w:sz w:val="20"/>
                <w:szCs w:val="20"/>
              </w:rPr>
            </w:pPr>
            <w:r w:rsidRPr="00FE6C48">
              <w:rPr>
                <w:rFonts w:ascii="Arial" w:hAnsi="Arial" w:cs="Arial"/>
                <w:b/>
                <w:bCs/>
                <w:sz w:val="20"/>
                <w:szCs w:val="20"/>
              </w:rPr>
              <w:t>Minimum number of car</w:t>
            </w:r>
          </w:p>
          <w:p w:rsidR="00495291" w:rsidRPr="00FE6C48" w:rsidRDefault="00495291" w:rsidP="001D6250">
            <w:pPr>
              <w:pStyle w:val="NormalWeb"/>
              <w:jc w:val="center"/>
              <w:rPr>
                <w:rFonts w:ascii="Arial" w:hAnsi="Arial" w:cs="Arial"/>
                <w:b/>
                <w:bCs/>
                <w:sz w:val="20"/>
                <w:szCs w:val="20"/>
              </w:rPr>
            </w:pPr>
            <w:r w:rsidRPr="00FE6C48">
              <w:rPr>
                <w:rFonts w:ascii="Arial" w:hAnsi="Arial" w:cs="Arial"/>
                <w:b/>
                <w:bCs/>
                <w:sz w:val="20"/>
                <w:szCs w:val="20"/>
              </w:rPr>
              <w:t>spaces to be provided</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Dwelling house</w:t>
            </w:r>
            <w:r w:rsidRPr="00FE6C48">
              <w:rPr>
                <w:rFonts w:ascii="Arial" w:hAnsi="Arial" w:cs="Arial"/>
                <w:sz w:val="20"/>
                <w:szCs w:val="20"/>
                <w:vertAlign w:val="superscript"/>
              </w:rPr>
              <w:t>(</w:t>
            </w:r>
            <w:hyperlink r:id="rId3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3 per dwelling house</w:t>
            </w:r>
            <w:r w:rsidRPr="00FE6C48">
              <w:rPr>
                <w:rFonts w:ascii="Arial" w:hAnsi="Arial" w:cs="Arial"/>
                <w:sz w:val="20"/>
                <w:szCs w:val="20"/>
                <w:vertAlign w:val="superscript"/>
              </w:rPr>
              <w:t>(</w:t>
            </w:r>
            <w:hyperlink r:id="rId3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1544"/>
            </w:tblGrid>
            <w:tr w:rsidR="00495291" w:rsidRPr="00FE6C48" w:rsidTr="001D6250">
              <w:trPr>
                <w:tblCellSpacing w:w="15" w:type="dxa"/>
              </w:trPr>
              <w:tc>
                <w:tcPr>
                  <w:tcW w:w="0" w:type="auto"/>
                  <w:vAlign w:val="center"/>
                  <w:hideMark/>
                </w:tcPr>
                <w:p w:rsidR="00495291" w:rsidRPr="00FE6C48" w:rsidRDefault="00495291" w:rsidP="001D6250">
                  <w:pPr>
                    <w:rPr>
                      <w:rFonts w:ascii="Arial" w:eastAsia="Times New Roman" w:hAnsi="Arial" w:cs="Arial"/>
                      <w:sz w:val="20"/>
                      <w:szCs w:val="20"/>
                    </w:rPr>
                  </w:pPr>
                  <w:r w:rsidRPr="00FE6C48">
                    <w:rPr>
                      <w:rFonts w:ascii="Arial" w:eastAsia="Times New Roman" w:hAnsi="Arial" w:cs="Arial"/>
                      <w:sz w:val="20"/>
                      <w:szCs w:val="20"/>
                    </w:rPr>
                    <w:t>Note - The provision of the third car parking space may be provided in tandem on the site.</w:t>
                  </w:r>
                </w:p>
              </w:tc>
            </w:tr>
          </w:tbl>
          <w:p w:rsidR="00495291" w:rsidRPr="00FE6C48" w:rsidRDefault="00495291" w:rsidP="001D6250">
            <w:pPr>
              <w:rPr>
                <w:rFonts w:ascii="Arial" w:eastAsia="Times New Roman" w:hAnsi="Arial" w:cs="Arial"/>
                <w:sz w:val="20"/>
                <w:szCs w:val="20"/>
              </w:rPr>
            </w:pP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Dual occupancy</w:t>
            </w:r>
            <w:r w:rsidRPr="00FE6C48">
              <w:rPr>
                <w:rFonts w:ascii="Arial" w:hAnsi="Arial" w:cs="Arial"/>
                <w:sz w:val="20"/>
                <w:szCs w:val="20"/>
                <w:vertAlign w:val="superscript"/>
              </w:rPr>
              <w:t>(</w:t>
            </w:r>
            <w:hyperlink r:id="rId4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E6C48">
                <w:rPr>
                  <w:rStyle w:val="Hyperlink"/>
                  <w:rFonts w:ascii="Arial" w:hAnsi="Arial" w:cs="Arial"/>
                  <w:sz w:val="20"/>
                  <w:szCs w:val="20"/>
                  <w:vertAlign w:val="superscript"/>
                </w:rPr>
                <w:t>21</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2 per dwelling</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Multiple dwelling</w:t>
            </w:r>
            <w:r w:rsidRPr="00FE6C48">
              <w:rPr>
                <w:rFonts w:ascii="Arial" w:hAnsi="Arial" w:cs="Arial"/>
                <w:sz w:val="20"/>
                <w:szCs w:val="20"/>
                <w:vertAlign w:val="superscript"/>
              </w:rPr>
              <w:t>(</w:t>
            </w:r>
            <w:hyperlink r:id="rId41" w:anchor="target-d768251e571524" w:tooltip="Multiple dwelling - Premises containing three or more dwellings for separate households." w:history="1">
              <w:r w:rsidRPr="00FE6C48">
                <w:rPr>
                  <w:rStyle w:val="Hyperlink"/>
                  <w:rFonts w:ascii="Arial" w:hAnsi="Arial" w:cs="Arial"/>
                  <w:sz w:val="20"/>
                  <w:szCs w:val="20"/>
                  <w:vertAlign w:val="superscript"/>
                </w:rPr>
                <w:t>49</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1.75 per dwelling</w:t>
            </w:r>
          </w:p>
        </w:tc>
      </w:tr>
    </w:tbl>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9.3.2.6 Car parking rates - Centre zone (Caboolture and Strathpine centre precincts)</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Minimum number of car spaces to be provided</w:t>
            </w:r>
          </w:p>
        </w:tc>
      </w:tr>
      <w:tr w:rsidR="00495291" w:rsidRPr="00FE6C48"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Centre zone:</w:t>
            </w:r>
          </w:p>
          <w:p w:rsidR="00495291" w:rsidRPr="00FE6C48" w:rsidRDefault="00495291" w:rsidP="00495291">
            <w:pPr>
              <w:pStyle w:val="NormalWeb"/>
              <w:numPr>
                <w:ilvl w:val="0"/>
                <w:numId w:val="42"/>
              </w:numPr>
              <w:rPr>
                <w:rFonts w:ascii="Arial" w:hAnsi="Arial" w:cs="Arial"/>
                <w:sz w:val="20"/>
                <w:szCs w:val="20"/>
              </w:rPr>
            </w:pPr>
            <w:r w:rsidRPr="00FE6C48">
              <w:rPr>
                <w:rFonts w:ascii="Arial" w:hAnsi="Arial" w:cs="Arial"/>
                <w:sz w:val="20"/>
                <w:szCs w:val="20"/>
              </w:rPr>
              <w:t>Caboolture centre precinct;</w:t>
            </w:r>
          </w:p>
          <w:p w:rsidR="00495291" w:rsidRPr="00FE6C48" w:rsidRDefault="00495291" w:rsidP="00495291">
            <w:pPr>
              <w:pStyle w:val="NormalWeb"/>
              <w:numPr>
                <w:ilvl w:val="0"/>
                <w:numId w:val="42"/>
              </w:numPr>
              <w:rPr>
                <w:rFonts w:ascii="Arial" w:hAnsi="Arial" w:cs="Arial"/>
                <w:sz w:val="20"/>
                <w:szCs w:val="20"/>
              </w:rPr>
            </w:pPr>
            <w:r w:rsidRPr="00FE6C48">
              <w:rPr>
                <w:rFonts w:ascii="Arial" w:hAnsi="Arial" w:cs="Arial"/>
                <w:sz w:val="20"/>
                <w:szCs w:val="20"/>
              </w:rPr>
              <w:t>Strathpine centre precinct.</w:t>
            </w:r>
          </w:p>
        </w:tc>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2 per  5 dwellings</w:t>
            </w:r>
          </w:p>
        </w:tc>
      </w:tr>
      <w:tr w:rsidR="00495291" w:rsidRPr="00FE6C48"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10 dwellings + staff spaces</w:t>
            </w:r>
          </w:p>
        </w:tc>
      </w:tr>
    </w:tbl>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3118B4"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3118B4" w:rsidRDefault="00495291" w:rsidP="001D6250">
            <w:pPr>
              <w:jc w:val="center"/>
              <w:rPr>
                <w:rFonts w:ascii="Arial" w:eastAsia="Times New Roman" w:hAnsi="Arial" w:cs="Arial"/>
                <w:sz w:val="20"/>
                <w:szCs w:val="20"/>
              </w:rPr>
            </w:pPr>
            <w:r w:rsidRPr="003118B4">
              <w:rPr>
                <w:rStyle w:val="Strong"/>
                <w:rFonts w:ascii="Arial" w:eastAsia="Times New Roman" w:hAnsi="Arial" w:cs="Arial"/>
                <w:sz w:val="20"/>
                <w:szCs w:val="20"/>
              </w:rPr>
              <w:t>Table 9.3.2.7 Car parking rates - Centre zone (District and Local centre precincts), Redcliffe Kippa-Ring local plan code and Caboolture West local plan code</w:t>
            </w:r>
          </w:p>
        </w:tc>
      </w:tr>
      <w:tr w:rsidR="00495291" w:rsidRPr="003118B4"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Minimum number of car spaces to be provided</w:t>
            </w:r>
          </w:p>
        </w:tc>
      </w:tr>
      <w:tr w:rsidR="00495291" w:rsidRPr="003118B4"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lastRenderedPageBreak/>
              <w:t>Centre zone:</w:t>
            </w:r>
          </w:p>
          <w:p w:rsidR="00495291" w:rsidRPr="003118B4" w:rsidRDefault="00495291" w:rsidP="00495291">
            <w:pPr>
              <w:pStyle w:val="NormalWeb"/>
              <w:numPr>
                <w:ilvl w:val="0"/>
                <w:numId w:val="43"/>
              </w:numPr>
              <w:rPr>
                <w:rFonts w:ascii="Arial" w:hAnsi="Arial" w:cs="Arial"/>
                <w:sz w:val="20"/>
                <w:szCs w:val="20"/>
              </w:rPr>
            </w:pPr>
            <w:r w:rsidRPr="003118B4">
              <w:rPr>
                <w:rFonts w:ascii="Arial" w:hAnsi="Arial" w:cs="Arial"/>
                <w:sz w:val="20"/>
                <w:szCs w:val="20"/>
              </w:rPr>
              <w:t>District centre precinct</w:t>
            </w:r>
          </w:p>
          <w:p w:rsidR="00495291" w:rsidRPr="003118B4" w:rsidRDefault="00495291" w:rsidP="00495291">
            <w:pPr>
              <w:pStyle w:val="NormalWeb"/>
              <w:numPr>
                <w:ilvl w:val="0"/>
                <w:numId w:val="43"/>
              </w:numPr>
              <w:rPr>
                <w:rFonts w:ascii="Arial" w:hAnsi="Arial" w:cs="Arial"/>
                <w:sz w:val="20"/>
                <w:szCs w:val="20"/>
              </w:rPr>
            </w:pPr>
            <w:r w:rsidRPr="003118B4">
              <w:rPr>
                <w:rFonts w:ascii="Arial" w:hAnsi="Arial" w:cs="Arial"/>
                <w:sz w:val="20"/>
                <w:szCs w:val="20"/>
              </w:rPr>
              <w:t>Local centre precinct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Redcliffe local plan code:</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Redcliffe seaside village precinct;</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Kippa-Ring village precinct;</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Health precinct.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Cab west local plan code:</w:t>
            </w:r>
          </w:p>
          <w:p w:rsidR="00495291" w:rsidRPr="003118B4" w:rsidRDefault="00495291" w:rsidP="00495291">
            <w:pPr>
              <w:pStyle w:val="NormalWeb"/>
              <w:numPr>
                <w:ilvl w:val="0"/>
                <w:numId w:val="45"/>
              </w:numPr>
              <w:rPr>
                <w:rFonts w:ascii="Arial" w:hAnsi="Arial" w:cs="Arial"/>
                <w:sz w:val="20"/>
                <w:szCs w:val="20"/>
              </w:rPr>
            </w:pPr>
            <w:r w:rsidRPr="003118B4">
              <w:rPr>
                <w:rFonts w:ascii="Arial" w:hAnsi="Arial" w:cs="Arial"/>
                <w:sz w:val="20"/>
                <w:szCs w:val="20"/>
              </w:rPr>
              <w:t>Urban living 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Next generation neighbourhood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Local centre sub-precinct</w:t>
            </w:r>
          </w:p>
          <w:p w:rsidR="00495291" w:rsidRPr="003118B4" w:rsidRDefault="00495291" w:rsidP="00495291">
            <w:pPr>
              <w:pStyle w:val="NormalWeb"/>
              <w:numPr>
                <w:ilvl w:val="0"/>
                <w:numId w:val="45"/>
              </w:numPr>
              <w:rPr>
                <w:rFonts w:ascii="Arial" w:hAnsi="Arial" w:cs="Arial"/>
                <w:sz w:val="20"/>
                <w:szCs w:val="20"/>
              </w:rPr>
            </w:pPr>
            <w:r w:rsidRPr="003118B4">
              <w:rPr>
                <w:rFonts w:ascii="Arial" w:hAnsi="Arial" w:cs="Arial"/>
                <w:sz w:val="20"/>
                <w:szCs w:val="20"/>
              </w:rPr>
              <w:t>Town centre 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Centre core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Mixed business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Teaching and learning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Civic space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Residential north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Residential south sub-precinct</w:t>
            </w:r>
          </w:p>
        </w:tc>
        <w:tc>
          <w:tcPr>
            <w:tcW w:w="1200" w:type="pc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1 per dwelling</w:t>
            </w:r>
          </w:p>
        </w:tc>
      </w:tr>
      <w:tr w:rsidR="00495291" w:rsidRPr="003118B4"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3118B4" w:rsidRDefault="00495291"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1 per 5 dwellings + staff space</w:t>
            </w:r>
          </w:p>
        </w:tc>
      </w:tr>
    </w:tbl>
    <w:p w:rsidR="00495291" w:rsidRDefault="00495291">
      <w:pPr>
        <w:rPr>
          <w:rFonts w:ascii="Arial" w:hAnsi="Arial" w:cs="Arial"/>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495291" w:rsidRPr="003118B4" w:rsidTr="001D6250">
        <w:trPr>
          <w:tblCellSpacing w:w="15" w:type="dxa"/>
        </w:trPr>
        <w:tc>
          <w:tcPr>
            <w:tcW w:w="0" w:type="auto"/>
            <w:vAlign w:val="center"/>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For development in a site location other than those listed in the tables above, refer to Schedule 7 for applicable car parking rates.</w:t>
            </w:r>
          </w:p>
        </w:tc>
      </w:tr>
    </w:tbl>
    <w:p w:rsidR="00495291" w:rsidRPr="003118B4" w:rsidRDefault="00495291" w:rsidP="00495291">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495291" w:rsidRPr="003118B4" w:rsidTr="001D6250">
        <w:trPr>
          <w:tblCellSpacing w:w="15" w:type="dxa"/>
        </w:trPr>
        <w:tc>
          <w:tcPr>
            <w:tcW w:w="0" w:type="auto"/>
            <w:vAlign w:val="center"/>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Car parking rates are to be rounded up to the nearest whole number.</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Allocation of car parking spaces to dwellings is at the discretion of the developer.</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Residential - Permanent/long term includes: Multiple dwelling</w:t>
            </w:r>
            <w:r w:rsidRPr="003118B4">
              <w:rPr>
                <w:rFonts w:ascii="Arial" w:hAnsi="Arial" w:cs="Arial"/>
                <w:sz w:val="20"/>
                <w:szCs w:val="20"/>
                <w:vertAlign w:val="superscript"/>
              </w:rPr>
              <w:t>(</w:t>
            </w:r>
            <w:hyperlink r:id="rId42" w:anchor="target-d768251e571524" w:tooltip="Multiple dwelling - Premises containing three or more dwellings for separate households." w:history="1">
              <w:r w:rsidRPr="003118B4">
                <w:rPr>
                  <w:rStyle w:val="Hyperlink"/>
                  <w:rFonts w:ascii="Arial" w:hAnsi="Arial" w:cs="Arial"/>
                  <w:sz w:val="20"/>
                  <w:szCs w:val="20"/>
                  <w:vertAlign w:val="superscript"/>
                </w:rPr>
                <w:t>49</w:t>
              </w:r>
            </w:hyperlink>
            <w:r w:rsidRPr="003118B4">
              <w:rPr>
                <w:rFonts w:ascii="Arial" w:hAnsi="Arial" w:cs="Arial"/>
                <w:sz w:val="20"/>
                <w:szCs w:val="20"/>
                <w:vertAlign w:val="superscript"/>
              </w:rPr>
              <w:t>)</w:t>
            </w:r>
            <w:r w:rsidRPr="003118B4">
              <w:rPr>
                <w:rFonts w:ascii="Arial" w:hAnsi="Arial" w:cs="Arial"/>
                <w:sz w:val="20"/>
                <w:szCs w:val="20"/>
              </w:rPr>
              <w:t>, Relocatable home park</w:t>
            </w:r>
            <w:r w:rsidRPr="003118B4">
              <w:rPr>
                <w:rFonts w:ascii="Arial" w:hAnsi="Arial" w:cs="Arial"/>
                <w:sz w:val="20"/>
                <w:szCs w:val="20"/>
                <w:vertAlign w:val="superscript"/>
              </w:rPr>
              <w:t>(</w:t>
            </w:r>
            <w:hyperlink r:id="rId43"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118B4">
                <w:rPr>
                  <w:rStyle w:val="Hyperlink"/>
                  <w:rFonts w:ascii="Arial" w:hAnsi="Arial" w:cs="Arial"/>
                  <w:sz w:val="20"/>
                  <w:szCs w:val="20"/>
                  <w:vertAlign w:val="superscript"/>
                </w:rPr>
                <w:t>62</w:t>
              </w:r>
            </w:hyperlink>
            <w:r w:rsidRPr="003118B4">
              <w:rPr>
                <w:rFonts w:ascii="Arial" w:hAnsi="Arial" w:cs="Arial"/>
                <w:sz w:val="20"/>
                <w:szCs w:val="20"/>
                <w:vertAlign w:val="superscript"/>
              </w:rPr>
              <w:t>)</w:t>
            </w:r>
            <w:r w:rsidRPr="003118B4">
              <w:rPr>
                <w:rFonts w:ascii="Arial" w:hAnsi="Arial" w:cs="Arial"/>
                <w:sz w:val="20"/>
                <w:szCs w:val="20"/>
              </w:rPr>
              <w:t>, Residential care facility</w:t>
            </w:r>
            <w:r w:rsidRPr="003118B4">
              <w:rPr>
                <w:rFonts w:ascii="Arial" w:hAnsi="Arial" w:cs="Arial"/>
                <w:sz w:val="20"/>
                <w:szCs w:val="20"/>
                <w:vertAlign w:val="superscript"/>
              </w:rPr>
              <w:t>(</w:t>
            </w:r>
            <w:hyperlink r:id="rId44"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3118B4">
                <w:rPr>
                  <w:rStyle w:val="Hyperlink"/>
                  <w:rFonts w:ascii="Arial" w:hAnsi="Arial" w:cs="Arial"/>
                  <w:sz w:val="20"/>
                  <w:szCs w:val="20"/>
                  <w:vertAlign w:val="superscript"/>
                </w:rPr>
                <w:t>65</w:t>
              </w:r>
            </w:hyperlink>
            <w:r w:rsidRPr="003118B4">
              <w:rPr>
                <w:rFonts w:ascii="Arial" w:hAnsi="Arial" w:cs="Arial"/>
                <w:sz w:val="20"/>
                <w:szCs w:val="20"/>
                <w:vertAlign w:val="superscript"/>
              </w:rPr>
              <w:t>)</w:t>
            </w:r>
            <w:r w:rsidRPr="003118B4">
              <w:rPr>
                <w:rFonts w:ascii="Arial" w:hAnsi="Arial" w:cs="Arial"/>
                <w:sz w:val="20"/>
                <w:szCs w:val="20"/>
              </w:rPr>
              <w:t>, Retirement facility</w:t>
            </w:r>
            <w:r w:rsidRPr="003118B4">
              <w:rPr>
                <w:rFonts w:ascii="Arial" w:hAnsi="Arial" w:cs="Arial"/>
                <w:sz w:val="20"/>
                <w:szCs w:val="20"/>
                <w:vertAlign w:val="superscript"/>
              </w:rPr>
              <w:t>(</w:t>
            </w:r>
            <w:hyperlink r:id="rId45"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118B4">
                <w:rPr>
                  <w:rStyle w:val="Hyperlink"/>
                  <w:rFonts w:ascii="Arial" w:hAnsi="Arial" w:cs="Arial"/>
                  <w:sz w:val="20"/>
                  <w:szCs w:val="20"/>
                  <w:vertAlign w:val="superscript"/>
                </w:rPr>
                <w:t>67</w:t>
              </w:r>
            </w:hyperlink>
            <w:r w:rsidRPr="003118B4">
              <w:rPr>
                <w:rFonts w:ascii="Arial" w:hAnsi="Arial" w:cs="Arial"/>
                <w:sz w:val="20"/>
                <w:szCs w:val="20"/>
                <w:vertAlign w:val="superscript"/>
              </w:rPr>
              <w:t>)</w:t>
            </w:r>
            <w:r w:rsidRPr="003118B4">
              <w:rPr>
                <w:rFonts w:ascii="Arial" w:hAnsi="Arial" w:cs="Arial"/>
                <w:sz w:val="20"/>
                <w:szCs w:val="20"/>
              </w:rPr>
              <w: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Residential - Services/short term includes: Rooming accommodation</w:t>
            </w:r>
            <w:r w:rsidRPr="003118B4">
              <w:rPr>
                <w:rFonts w:ascii="Arial" w:hAnsi="Arial" w:cs="Arial"/>
                <w:sz w:val="20"/>
                <w:szCs w:val="20"/>
                <w:vertAlign w:val="superscript"/>
              </w:rPr>
              <w:t>(</w:t>
            </w:r>
            <w:hyperlink r:id="rId46" w:anchor="target-d768251e572066" w:tooltip="Rooming accommodation - Premises used for the accommodation of more than one household where each resident:" w:history="1">
              <w:r w:rsidRPr="003118B4">
                <w:rPr>
                  <w:rStyle w:val="Hyperlink"/>
                  <w:rFonts w:ascii="Arial" w:hAnsi="Arial" w:cs="Arial"/>
                  <w:sz w:val="20"/>
                  <w:szCs w:val="20"/>
                  <w:vertAlign w:val="superscript"/>
                </w:rPr>
                <w:t>69</w:t>
              </w:r>
            </w:hyperlink>
            <w:r w:rsidRPr="003118B4">
              <w:rPr>
                <w:rFonts w:ascii="Arial" w:hAnsi="Arial" w:cs="Arial"/>
                <w:sz w:val="20"/>
                <w:szCs w:val="20"/>
                <w:vertAlign w:val="superscript"/>
              </w:rPr>
              <w:t>)</w:t>
            </w:r>
            <w:r w:rsidRPr="003118B4">
              <w:rPr>
                <w:rFonts w:ascii="Arial" w:hAnsi="Arial" w:cs="Arial"/>
                <w:sz w:val="20"/>
                <w:szCs w:val="20"/>
              </w:rPr>
              <w:t xml:space="preserve"> or Short-term accommodation</w:t>
            </w:r>
            <w:r w:rsidRPr="003118B4">
              <w:rPr>
                <w:rFonts w:ascii="Arial" w:hAnsi="Arial" w:cs="Arial"/>
                <w:sz w:val="20"/>
                <w:szCs w:val="20"/>
                <w:vertAlign w:val="superscript"/>
              </w:rPr>
              <w:t>(</w:t>
            </w:r>
            <w:hyperlink r:id="rId47"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118B4">
                <w:rPr>
                  <w:rStyle w:val="Hyperlink"/>
                  <w:rFonts w:ascii="Arial" w:hAnsi="Arial" w:cs="Arial"/>
                  <w:sz w:val="20"/>
                  <w:szCs w:val="20"/>
                  <w:vertAlign w:val="superscript"/>
                </w:rPr>
                <w:t>77</w:t>
              </w:r>
            </w:hyperlink>
            <w:r w:rsidRPr="003118B4">
              <w:rPr>
                <w:rFonts w:ascii="Arial" w:hAnsi="Arial" w:cs="Arial"/>
                <w:sz w:val="20"/>
                <w:szCs w:val="20"/>
                <w:vertAlign w:val="superscript"/>
              </w:rPr>
              <w:t>)</w:t>
            </w:r>
            <w:r w:rsidRPr="003118B4">
              <w:rPr>
                <w:rFonts w:ascii="Arial" w:hAnsi="Arial" w:cs="Arial"/>
                <w:sz w:val="20"/>
                <w:szCs w:val="20"/>
              </w:rPr>
              <w:t>.</w:t>
            </w:r>
          </w:p>
        </w:tc>
      </w:tr>
    </w:tbl>
    <w:p w:rsidR="00495291" w:rsidRPr="004E0E41" w:rsidRDefault="00495291">
      <w:pPr>
        <w:rPr>
          <w:rFonts w:ascii="Arial" w:hAnsi="Arial" w:cs="Arial"/>
        </w:rPr>
      </w:pPr>
    </w:p>
    <w:sectPr w:rsidR="00495291" w:rsidRPr="004E0E41" w:rsidSect="007E10F1">
      <w:headerReference w:type="even" r:id="rId48"/>
      <w:headerReference w:type="default" r:id="rId49"/>
      <w:footerReference w:type="even" r:id="rId50"/>
      <w:footerReference w:type="default" r:id="rId51"/>
      <w:headerReference w:type="first" r:id="rId52"/>
      <w:footerReference w:type="first" r:id="rId5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E48" w:rsidRDefault="003A0E48" w:rsidP="007E10F1">
      <w:r>
        <w:separator/>
      </w:r>
    </w:p>
  </w:endnote>
  <w:endnote w:type="continuationSeparator" w:id="0">
    <w:p w:rsidR="003A0E48" w:rsidRDefault="003A0E48" w:rsidP="007E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62" w:rsidRDefault="0087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F1" w:rsidRPr="007E10F1" w:rsidRDefault="007E10F1" w:rsidP="007E10F1">
    <w:pPr>
      <w:pStyle w:val="Footer"/>
      <w:jc w:val="center"/>
      <w:rPr>
        <w:rFonts w:ascii="Arial" w:hAnsi="Arial" w:cs="Arial"/>
        <w:sz w:val="20"/>
        <w:szCs w:val="20"/>
      </w:rPr>
    </w:pPr>
    <w:r w:rsidRPr="007E10F1">
      <w:rPr>
        <w:rFonts w:ascii="Arial" w:hAnsi="Arial" w:cs="Arial"/>
        <w:sz w:val="20"/>
        <w:szCs w:val="20"/>
      </w:rPr>
      <w:t xml:space="preserve">MBRC Planning Scheme Version </w:t>
    </w:r>
    <w:r w:rsidR="00870F62">
      <w:rPr>
        <w:rFonts w:ascii="Arial" w:hAnsi="Arial" w:cs="Arial"/>
        <w:sz w:val="20"/>
        <w:szCs w:val="20"/>
      </w:rPr>
      <w:t xml:space="preserve">6 </w:t>
    </w:r>
    <w:bookmarkStart w:id="0" w:name="_GoBack"/>
    <w:bookmarkEnd w:id="0"/>
    <w:r w:rsidR="00870F62">
      <w:rPr>
        <w:rFonts w:ascii="Arial" w:hAnsi="Arial" w:cs="Arial"/>
        <w:sz w:val="20"/>
        <w:szCs w:val="20"/>
      </w:rPr>
      <w:t>-</w:t>
    </w:r>
    <w:r w:rsidRPr="007E10F1">
      <w:rPr>
        <w:rFonts w:ascii="Arial" w:hAnsi="Arial" w:cs="Arial"/>
        <w:sz w:val="20"/>
        <w:szCs w:val="20"/>
      </w:rPr>
      <w:t xml:space="preserve"> Use codes - Residential uses code - Assessable development</w:t>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sidRPr="006C517C">
      <w:rPr>
        <w:rFonts w:ascii="Arial" w:hAnsi="Arial" w:cs="Arial"/>
        <w:sz w:val="20"/>
        <w:szCs w:val="20"/>
      </w:rPr>
      <w:fldChar w:fldCharType="begin"/>
    </w:r>
    <w:r w:rsidR="006C517C" w:rsidRPr="006C517C">
      <w:rPr>
        <w:rFonts w:ascii="Arial" w:hAnsi="Arial" w:cs="Arial"/>
        <w:sz w:val="20"/>
        <w:szCs w:val="20"/>
      </w:rPr>
      <w:instrText xml:space="preserve"> PAGE   \* MERGEFORMAT </w:instrText>
    </w:r>
    <w:r w:rsidR="006C517C" w:rsidRPr="006C517C">
      <w:rPr>
        <w:rFonts w:ascii="Arial" w:hAnsi="Arial" w:cs="Arial"/>
        <w:sz w:val="20"/>
        <w:szCs w:val="20"/>
      </w:rPr>
      <w:fldChar w:fldCharType="separate"/>
    </w:r>
    <w:r w:rsidR="006C517C" w:rsidRPr="006C517C">
      <w:rPr>
        <w:rFonts w:ascii="Arial" w:hAnsi="Arial" w:cs="Arial"/>
        <w:noProof/>
        <w:sz w:val="20"/>
        <w:szCs w:val="20"/>
      </w:rPr>
      <w:t>1</w:t>
    </w:r>
    <w:r w:rsidR="006C517C" w:rsidRPr="006C517C">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62" w:rsidRDefault="0087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E48" w:rsidRDefault="003A0E48" w:rsidP="007E10F1">
      <w:r>
        <w:separator/>
      </w:r>
    </w:p>
  </w:footnote>
  <w:footnote w:type="continuationSeparator" w:id="0">
    <w:p w:rsidR="003A0E48" w:rsidRDefault="003A0E48" w:rsidP="007E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62" w:rsidRDefault="0087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62" w:rsidRDefault="00870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62" w:rsidRDefault="0087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1FA"/>
    <w:multiLevelType w:val="multilevel"/>
    <w:tmpl w:val="035AE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1C10BB"/>
    <w:multiLevelType w:val="multilevel"/>
    <w:tmpl w:val="195AFB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2578D7"/>
    <w:multiLevelType w:val="multilevel"/>
    <w:tmpl w:val="3454E0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983B93"/>
    <w:multiLevelType w:val="multilevel"/>
    <w:tmpl w:val="8F821122"/>
    <w:lvl w:ilvl="0">
      <w:start w:val="1"/>
      <w:numFmt w:val="lowerLetter"/>
      <w:lvlText w:val="%1."/>
      <w:lvlJc w:val="left"/>
      <w:pPr>
        <w:tabs>
          <w:tab w:val="num" w:pos="360"/>
        </w:tabs>
        <w:ind w:left="360" w:hanging="360"/>
      </w:pPr>
    </w:lvl>
    <w:lvl w:ilvl="1">
      <w:start w:val="1"/>
      <w:numFmt w:val="lowerRoman"/>
      <w:lvlText w:val="%2."/>
      <w:lvlJc w:val="right"/>
      <w:pPr>
        <w:tabs>
          <w:tab w:val="num" w:pos="1080"/>
        </w:tabs>
        <w:ind w:left="1080" w:hanging="360"/>
      </w:pPr>
    </w:lvl>
    <w:lvl w:ilvl="2">
      <w:start w:val="1"/>
      <w:numFmt w:val="upp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04CC2CF6"/>
    <w:multiLevelType w:val="multilevel"/>
    <w:tmpl w:val="43BC0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F82051"/>
    <w:multiLevelType w:val="multilevel"/>
    <w:tmpl w:val="DE58752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B13767"/>
    <w:multiLevelType w:val="multilevel"/>
    <w:tmpl w:val="6E54E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8405D9"/>
    <w:multiLevelType w:val="multilevel"/>
    <w:tmpl w:val="25C08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8773A3"/>
    <w:multiLevelType w:val="multilevel"/>
    <w:tmpl w:val="1A2EA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20190B32"/>
    <w:multiLevelType w:val="multilevel"/>
    <w:tmpl w:val="6448A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2D2654"/>
    <w:multiLevelType w:val="multilevel"/>
    <w:tmpl w:val="458A1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F659FF"/>
    <w:multiLevelType w:val="multilevel"/>
    <w:tmpl w:val="B24ED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036859"/>
    <w:multiLevelType w:val="multilevel"/>
    <w:tmpl w:val="BAF83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F36127"/>
    <w:multiLevelType w:val="multilevel"/>
    <w:tmpl w:val="B944FD8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F86946"/>
    <w:multiLevelType w:val="multilevel"/>
    <w:tmpl w:val="E4926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521A7B"/>
    <w:multiLevelType w:val="multilevel"/>
    <w:tmpl w:val="110425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AA72D3"/>
    <w:multiLevelType w:val="multilevel"/>
    <w:tmpl w:val="956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B26AB"/>
    <w:multiLevelType w:val="multilevel"/>
    <w:tmpl w:val="656EC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2F77AB"/>
    <w:multiLevelType w:val="multilevel"/>
    <w:tmpl w:val="40323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B7891"/>
    <w:multiLevelType w:val="multilevel"/>
    <w:tmpl w:val="57D0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BC0FA5"/>
    <w:multiLevelType w:val="multilevel"/>
    <w:tmpl w:val="D5E8C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F83DC7"/>
    <w:multiLevelType w:val="multilevel"/>
    <w:tmpl w:val="8FBE0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BA255B"/>
    <w:multiLevelType w:val="multilevel"/>
    <w:tmpl w:val="BBFAD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8F2E28"/>
    <w:multiLevelType w:val="multilevel"/>
    <w:tmpl w:val="D5B64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617FFD"/>
    <w:multiLevelType w:val="multilevel"/>
    <w:tmpl w:val="DA325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1005F7A"/>
    <w:multiLevelType w:val="multilevel"/>
    <w:tmpl w:val="16ECB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1A518A8"/>
    <w:multiLevelType w:val="multilevel"/>
    <w:tmpl w:val="2BDE64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C84544"/>
    <w:multiLevelType w:val="multilevel"/>
    <w:tmpl w:val="262CB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126A85"/>
    <w:multiLevelType w:val="multilevel"/>
    <w:tmpl w:val="9E2436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B92F04"/>
    <w:multiLevelType w:val="multilevel"/>
    <w:tmpl w:val="C34A9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624C3E"/>
    <w:multiLevelType w:val="multilevel"/>
    <w:tmpl w:val="4EDA8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5C523BE"/>
    <w:multiLevelType w:val="multilevel"/>
    <w:tmpl w:val="DF6A9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B501E3"/>
    <w:multiLevelType w:val="multilevel"/>
    <w:tmpl w:val="1CBA7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B48136D"/>
    <w:multiLevelType w:val="multilevel"/>
    <w:tmpl w:val="C9F08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976B28"/>
    <w:multiLevelType w:val="multilevel"/>
    <w:tmpl w:val="796C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93D41"/>
    <w:multiLevelType w:val="multilevel"/>
    <w:tmpl w:val="51746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4D91D3A"/>
    <w:multiLevelType w:val="multilevel"/>
    <w:tmpl w:val="E5660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A616487"/>
    <w:multiLevelType w:val="multilevel"/>
    <w:tmpl w:val="D28823A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F24D70"/>
    <w:multiLevelType w:val="multilevel"/>
    <w:tmpl w:val="21F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934CD"/>
    <w:multiLevelType w:val="multilevel"/>
    <w:tmpl w:val="9B4C3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5B2BD6"/>
    <w:multiLevelType w:val="multilevel"/>
    <w:tmpl w:val="D660D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BD31621"/>
    <w:multiLevelType w:val="multilevel"/>
    <w:tmpl w:val="4F46B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EFB4323"/>
    <w:multiLevelType w:val="multilevel"/>
    <w:tmpl w:val="9C341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F397D30"/>
    <w:multiLevelType w:val="multilevel"/>
    <w:tmpl w:val="CD0E2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3"/>
  </w:num>
  <w:num w:numId="3">
    <w:abstractNumId w:val="37"/>
  </w:num>
  <w:num w:numId="4">
    <w:abstractNumId w:val="14"/>
  </w:num>
  <w:num w:numId="5">
    <w:abstractNumId w:val="8"/>
  </w:num>
  <w:num w:numId="6">
    <w:abstractNumId w:val="22"/>
  </w:num>
  <w:num w:numId="7">
    <w:abstractNumId w:val="32"/>
  </w:num>
  <w:num w:numId="8">
    <w:abstractNumId w:val="26"/>
  </w:num>
  <w:num w:numId="9">
    <w:abstractNumId w:val="15"/>
  </w:num>
  <w:num w:numId="10">
    <w:abstractNumId w:val="12"/>
  </w:num>
  <w:num w:numId="11">
    <w:abstractNumId w:val="21"/>
  </w:num>
  <w:num w:numId="12">
    <w:abstractNumId w:val="25"/>
  </w:num>
  <w:num w:numId="13">
    <w:abstractNumId w:val="29"/>
  </w:num>
  <w:num w:numId="14">
    <w:abstractNumId w:val="40"/>
  </w:num>
  <w:num w:numId="15">
    <w:abstractNumId w:val="11"/>
  </w:num>
  <w:num w:numId="16">
    <w:abstractNumId w:val="31"/>
  </w:num>
  <w:num w:numId="17">
    <w:abstractNumId w:val="34"/>
  </w:num>
  <w:num w:numId="18">
    <w:abstractNumId w:val="27"/>
  </w:num>
  <w:num w:numId="19">
    <w:abstractNumId w:val="33"/>
  </w:num>
  <w:num w:numId="20">
    <w:abstractNumId w:val="38"/>
  </w:num>
  <w:num w:numId="21">
    <w:abstractNumId w:val="6"/>
  </w:num>
  <w:num w:numId="22">
    <w:abstractNumId w:val="13"/>
  </w:num>
  <w:num w:numId="23">
    <w:abstractNumId w:val="1"/>
  </w:num>
  <w:num w:numId="24">
    <w:abstractNumId w:val="42"/>
  </w:num>
  <w:num w:numId="25">
    <w:abstractNumId w:val="44"/>
  </w:num>
  <w:num w:numId="26">
    <w:abstractNumId w:val="7"/>
  </w:num>
  <w:num w:numId="27">
    <w:abstractNumId w:val="23"/>
  </w:num>
  <w:num w:numId="28">
    <w:abstractNumId w:val="20"/>
  </w:num>
  <w:num w:numId="29">
    <w:abstractNumId w:val="36"/>
  </w:num>
  <w:num w:numId="30">
    <w:abstractNumId w:val="16"/>
  </w:num>
  <w:num w:numId="31">
    <w:abstractNumId w:val="30"/>
  </w:num>
  <w:num w:numId="32">
    <w:abstractNumId w:val="18"/>
  </w:num>
  <w:num w:numId="33">
    <w:abstractNumId w:val="0"/>
  </w:num>
  <w:num w:numId="34">
    <w:abstractNumId w:val="41"/>
  </w:num>
  <w:num w:numId="35">
    <w:abstractNumId w:val="43"/>
  </w:num>
  <w:num w:numId="36">
    <w:abstractNumId w:val="10"/>
  </w:num>
  <w:num w:numId="37">
    <w:abstractNumId w:val="2"/>
  </w:num>
  <w:num w:numId="38">
    <w:abstractNumId w:val="5"/>
  </w:num>
  <w:num w:numId="39">
    <w:abstractNumId w:val="28"/>
  </w:num>
  <w:num w:numId="40">
    <w:abstractNumId w:val="4"/>
  </w:num>
  <w:num w:numId="41">
    <w:abstractNumId w:val="9"/>
  </w:num>
  <w:num w:numId="42">
    <w:abstractNumId w:val="39"/>
  </w:num>
  <w:num w:numId="43">
    <w:abstractNumId w:val="35"/>
  </w:num>
  <w:num w:numId="44">
    <w:abstractNumId w:val="1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F1"/>
    <w:rsid w:val="00133DA4"/>
    <w:rsid w:val="003A0E48"/>
    <w:rsid w:val="00495291"/>
    <w:rsid w:val="004E0E41"/>
    <w:rsid w:val="00641E2E"/>
    <w:rsid w:val="006C517C"/>
    <w:rsid w:val="007E10F1"/>
    <w:rsid w:val="00870F62"/>
    <w:rsid w:val="00A36F59"/>
    <w:rsid w:val="00C662F2"/>
    <w:rsid w:val="00D05A1A"/>
    <w:rsid w:val="00D755D7"/>
    <w:rsid w:val="00DA1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4F44"/>
  <w15:chartTrackingRefBased/>
  <w15:docId w15:val="{8B635BD5-D781-4ED0-A531-54145A3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F1"/>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0F1"/>
    <w:rPr>
      <w:color w:val="0000FF"/>
      <w:u w:val="single"/>
    </w:rPr>
  </w:style>
  <w:style w:type="paragraph" w:styleId="NormalWeb">
    <w:name w:val="Normal (Web)"/>
    <w:basedOn w:val="Normal"/>
    <w:uiPriority w:val="99"/>
    <w:semiHidden/>
    <w:unhideWhenUsed/>
    <w:rsid w:val="007E10F1"/>
    <w:pPr>
      <w:spacing w:before="100" w:beforeAutospacing="1" w:after="100" w:afterAutospacing="1"/>
    </w:pPr>
  </w:style>
  <w:style w:type="character" w:styleId="Strong">
    <w:name w:val="Strong"/>
    <w:basedOn w:val="DefaultParagraphFont"/>
    <w:uiPriority w:val="22"/>
    <w:qFormat/>
    <w:rsid w:val="007E10F1"/>
    <w:rPr>
      <w:b/>
      <w:bCs/>
    </w:rPr>
  </w:style>
  <w:style w:type="character" w:styleId="Emphasis">
    <w:name w:val="Emphasis"/>
    <w:basedOn w:val="DefaultParagraphFont"/>
    <w:uiPriority w:val="20"/>
    <w:qFormat/>
    <w:rsid w:val="007E10F1"/>
    <w:rPr>
      <w:i/>
      <w:iCs/>
    </w:rPr>
  </w:style>
  <w:style w:type="paragraph" w:styleId="Header">
    <w:name w:val="header"/>
    <w:basedOn w:val="Normal"/>
    <w:link w:val="HeaderChar"/>
    <w:uiPriority w:val="99"/>
    <w:unhideWhenUsed/>
    <w:rsid w:val="007E10F1"/>
    <w:pPr>
      <w:tabs>
        <w:tab w:val="center" w:pos="4513"/>
        <w:tab w:val="right" w:pos="9026"/>
      </w:tabs>
    </w:pPr>
  </w:style>
  <w:style w:type="character" w:customStyle="1" w:styleId="HeaderChar">
    <w:name w:val="Header Char"/>
    <w:basedOn w:val="DefaultParagraphFont"/>
    <w:link w:val="Header"/>
    <w:uiPriority w:val="99"/>
    <w:rsid w:val="007E10F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7E10F1"/>
    <w:pPr>
      <w:tabs>
        <w:tab w:val="center" w:pos="4513"/>
        <w:tab w:val="right" w:pos="9026"/>
      </w:tabs>
    </w:pPr>
  </w:style>
  <w:style w:type="character" w:customStyle="1" w:styleId="FooterChar">
    <w:name w:val="Footer Char"/>
    <w:basedOn w:val="DefaultParagraphFont"/>
    <w:link w:val="Footer"/>
    <w:uiPriority w:val="99"/>
    <w:rsid w:val="007E10F1"/>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09829826592.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09829826592.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09829826592.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09829826592.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09829826592.html" TargetMode="External"/><Relationship Id="rId28" Type="http://schemas.openxmlformats.org/officeDocument/2006/relationships/hyperlink" Target="file:///C:\Users\seang\OneDrive%20-%20Objective%20Corp\Desktop\HTML-Export\section_s1309829826592.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eader" Target="header2.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09829826592.html" TargetMode="External"/><Relationship Id="rId27" Type="http://schemas.openxmlformats.org/officeDocument/2006/relationships/hyperlink" Target="file:///C:\Users\seang\OneDrive%20-%20Objective%20Corp\Desktop\HTML-Export\section_s1309829826592.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eader" Target="header1.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7692</Words>
  <Characters>43849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2021-10-13T01:40:00Z</dcterms:created>
  <dcterms:modified xsi:type="dcterms:W3CDTF">2021-11-11T06:05:00Z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A19467086</vt:lpwstr>
  </property>
  <property fmtid="{D5CDD505-2E9C-101B-9397-08002B2CF9AE}" pid="4" name="Objective-Title">
    <vt:lpwstr>9.3.2.3 Residential uses code - Assessable UPDATED</vt:lpwstr>
  </property>
  <property fmtid="{D5CDD505-2E9C-101B-9397-08002B2CF9AE}" pid="5" name="Objective-Comment">
    <vt:lpwstr/>
  </property>
  <property fmtid="{D5CDD505-2E9C-101B-9397-08002B2CF9AE}" pid="6" name="Objective-CreationStamp">
    <vt:filetime>2019-12-12T05:37:52Z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2020-01-06T06:41:29Z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