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060"/>
        <w:gridCol w:w="5714"/>
        <w:gridCol w:w="97"/>
        <w:gridCol w:w="85"/>
        <w:gridCol w:w="1687"/>
        <w:gridCol w:w="39"/>
        <w:gridCol w:w="3636"/>
        <w:gridCol w:w="81"/>
      </w:tblGrid>
      <w:tr w:rsidR="00C73185" w:rsidRPr="00AC732E" w:rsidTr="00C73185">
        <w:trPr>
          <w:gridAfter w:val="1"/>
          <w:wAfter w:w="12" w:type="pct"/>
          <w:tblCellSpacing w:w="15" w:type="dxa"/>
        </w:trPr>
        <w:tc>
          <w:tcPr>
            <w:tcW w:w="4959" w:type="pct"/>
            <w:gridSpan w:val="8"/>
            <w:tcBorders>
              <w:top w:val="nil"/>
              <w:left w:val="nil"/>
              <w:bottom w:val="nil"/>
              <w:right w:val="nil"/>
            </w:tcBorders>
            <w:shd w:val="clear" w:color="auto" w:fill="CCCCCC"/>
            <w:vAlign w:val="center"/>
            <w:hideMark/>
          </w:tcPr>
          <w:p w:rsidR="00C73185" w:rsidRPr="00AC732E" w:rsidRDefault="00C73185" w:rsidP="00C73185">
            <w:pPr>
              <w:jc w:val="center"/>
              <w:rPr>
                <w:rFonts w:ascii="Arial" w:hAnsi="Arial" w:cs="Arial"/>
                <w:b/>
                <w:bCs/>
                <w:sz w:val="20"/>
                <w:szCs w:val="20"/>
              </w:rPr>
            </w:pPr>
            <w:r w:rsidRPr="00AC732E">
              <w:rPr>
                <w:rFonts w:ascii="Arial" w:hAnsi="Arial" w:cs="Arial"/>
                <w:b/>
                <w:bCs/>
                <w:sz w:val="20"/>
                <w:szCs w:val="20"/>
              </w:rPr>
              <w:t>Table 9.4.1.12.2.1 Assessable development - Township zone - Township convenience precinct</w:t>
            </w: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Performance Outcomes</w:t>
            </w:r>
          </w:p>
        </w:tc>
        <w:tc>
          <w:tcPr>
            <w:tcW w:w="1855" w:type="pct"/>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Examples that achieve aspects of the Performance Outcomes</w:t>
            </w:r>
          </w:p>
        </w:tc>
        <w:tc>
          <w:tcPr>
            <w:tcW w:w="584" w:type="pct"/>
            <w:gridSpan w:val="3"/>
            <w:shd w:val="clear" w:color="auto" w:fill="CCCCCC"/>
          </w:tcPr>
          <w:p w:rsidR="00D148A0" w:rsidRPr="00AC732E" w:rsidRDefault="00D148A0" w:rsidP="00D148A0">
            <w:pPr>
              <w:spacing w:after="0" w:line="240" w:lineRule="auto"/>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E Compliance</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Yes</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No See PO or</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NA</w:t>
            </w:r>
          </w:p>
        </w:tc>
        <w:tc>
          <w:tcPr>
            <w:tcW w:w="1166" w:type="pct"/>
            <w:gridSpan w:val="2"/>
            <w:shd w:val="clear" w:color="auto" w:fill="CCCCCC"/>
          </w:tcPr>
          <w:p w:rsidR="00D148A0" w:rsidRPr="00AC732E" w:rsidRDefault="00D148A0" w:rsidP="00D148A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Justification for compliance</w:t>
            </w: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Lot size and design</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w:t>
            </w:r>
          </w:p>
          <w:p w:rsidR="00D148A0" w:rsidRPr="00AC732E" w:rsidRDefault="00D148A0" w:rsidP="00D148A0">
            <w:pPr>
              <w:rPr>
                <w:rFonts w:ascii="Arial" w:hAnsi="Arial" w:cs="Arial"/>
                <w:sz w:val="20"/>
                <w:szCs w:val="20"/>
              </w:rPr>
            </w:pPr>
            <w:r w:rsidRPr="00AC732E">
              <w:rPr>
                <w:rFonts w:ascii="Arial" w:hAnsi="Arial" w:cs="Arial"/>
                <w:sz w:val="20"/>
                <w:szCs w:val="20"/>
              </w:rPr>
              <w:t>Lots have appropriate area and dimension for the establishment of uses consistent with the Township convenience precinct, having regard to areas required for:</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convenient and safe access;</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on-site car parking;</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service vehicle access and manoeuvring;</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appropriately sited loading and servicing areas;</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setbacks, buffers and landscaping where required.</w:t>
            </w:r>
          </w:p>
          <w:tbl>
            <w:tblPr>
              <w:tblW w:w="40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1"/>
            </w:tblGrid>
            <w:tr w:rsidR="00D148A0" w:rsidRPr="00AC732E" w:rsidTr="00D148A0">
              <w:trPr>
                <w:trHeight w:val="430"/>
                <w:tblCellSpacing w:w="15" w:type="dxa"/>
              </w:trPr>
              <w:tc>
                <w:tcPr>
                  <w:tcW w:w="4011"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Note - Refer to the overall outcomes for the Township convenience precinct of the Township zone for uses consistent in this precinct.</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provides for appropriate buffers between existing and future centre uses and existing or potential future sensitive land uses.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Default="00D148A0" w:rsidP="00D148A0">
            <w:pPr>
              <w:rPr>
                <w:rFonts w:ascii="Arial" w:hAnsi="Arial" w:cs="Arial"/>
                <w:b/>
                <w:bCs/>
                <w:sz w:val="20"/>
                <w:szCs w:val="20"/>
              </w:rPr>
            </w:pPr>
            <w:r w:rsidRPr="00AC732E">
              <w:rPr>
                <w:rFonts w:ascii="Arial" w:hAnsi="Arial" w:cs="Arial"/>
                <w:b/>
                <w:bCs/>
                <w:sz w:val="20"/>
                <w:szCs w:val="20"/>
              </w:rPr>
              <w:t>PO3</w:t>
            </w:r>
          </w:p>
          <w:p w:rsidR="00970920" w:rsidRPr="00970920" w:rsidRDefault="00970920" w:rsidP="00970920">
            <w:pPr>
              <w:jc w:val="right"/>
              <w:rPr>
                <w:rFonts w:ascii="Arial" w:hAnsi="Arial" w:cs="Arial"/>
                <w:sz w:val="20"/>
                <w:szCs w:val="20"/>
              </w:rPr>
            </w:pP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Where adjacent to existing or proposed public spaces, reconfiguring a lot promotes safety, amenity and activity within the public space by facilitating connections to any existing footpaths or roadways.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Default="007B24E1" w:rsidP="007B24E1">
            <w:pPr>
              <w:tabs>
                <w:tab w:val="left" w:pos="2710"/>
              </w:tabs>
              <w:rPr>
                <w:rFonts w:ascii="Arial" w:hAnsi="Arial" w:cs="Arial"/>
                <w:b/>
                <w:bCs/>
                <w:sz w:val="20"/>
                <w:szCs w:val="20"/>
              </w:rPr>
            </w:pPr>
            <w:r>
              <w:rPr>
                <w:rFonts w:ascii="Arial" w:hAnsi="Arial" w:cs="Arial"/>
                <w:sz w:val="20"/>
                <w:szCs w:val="20"/>
              </w:rPr>
              <w:tab/>
            </w:r>
          </w:p>
          <w:p w:rsidR="00970920" w:rsidRPr="00970920" w:rsidRDefault="00970920" w:rsidP="0097092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PO4</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does not compromise potential future connections with adjoining roadways, uses or lots by way of inappropriate boundary or road reserve locations.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Utilities</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PO5</w:t>
            </w:r>
          </w:p>
          <w:p w:rsidR="00D148A0" w:rsidRPr="00AC732E" w:rsidRDefault="00D148A0" w:rsidP="00D148A0">
            <w:pPr>
              <w:rPr>
                <w:rFonts w:ascii="Arial" w:hAnsi="Arial" w:cs="Arial"/>
                <w:sz w:val="20"/>
                <w:szCs w:val="20"/>
              </w:rPr>
            </w:pPr>
            <w:r w:rsidRPr="00AC732E">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Street design and layout</w:t>
            </w:r>
          </w:p>
        </w:tc>
        <w:tc>
          <w:tcPr>
            <w:tcW w:w="584" w:type="pct"/>
            <w:gridSpan w:val="3"/>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PO6</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C732E">
              <w:rPr>
                <w:rFonts w:ascii="Arial" w:hAnsi="Arial" w:cs="Arial"/>
                <w:sz w:val="20"/>
                <w:szCs w:val="20"/>
              </w:rPr>
              <w:t>accommodates</w:t>
            </w:r>
            <w:proofErr w:type="gramEnd"/>
            <w:r w:rsidRPr="00AC732E">
              <w:rPr>
                <w:rFonts w:ascii="Arial" w:hAnsi="Arial" w:cs="Arial"/>
                <w:sz w:val="20"/>
                <w:szCs w:val="20"/>
              </w:rPr>
              <w:t xml:space="preserve"> the following functions: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 xml:space="preserve">access to premises by providing convenient vehicular movement for </w:t>
            </w:r>
            <w:r w:rsidRPr="00AC732E">
              <w:rPr>
                <w:rFonts w:ascii="Arial" w:hAnsi="Arial" w:cs="Arial"/>
                <w:sz w:val="20"/>
                <w:szCs w:val="20"/>
              </w:rPr>
              <w:lastRenderedPageBreak/>
              <w:t>residents between their homes and the major road network;</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safe and convenient pedestrian and cycle movement;</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adequate on street parking;</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stormwater drainage paths and treatment facilities;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efficient public transport routes;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utility services location;</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emergency access and waste collection;</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setting and approach (streetscape, landscaping and street furniture) for adjoining residences;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expected traffic speeds and volumes; and</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Environmental areas and corridors for examples of when and where wildlife movement infrastructure is required.</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vMerge w:val="restar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PO7</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6"/>
                      <w:szCs w:val="20"/>
                    </w:rPr>
                  </w:pPr>
                  <w:r w:rsidRPr="007B24E1">
                    <w:rPr>
                      <w:rFonts w:ascii="Arial" w:hAnsi="Arial" w:cs="Arial"/>
                      <w:sz w:val="16"/>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is within 200m of a transport sensitive location such as a school, shopping centre, bus or train station or a large generator of pedestrian or vehicular traffic;</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 xml:space="preserve">Forecast traffic to/from the development exceeds 5% of the </w:t>
                  </w:r>
                  <w:proofErr w:type="gramStart"/>
                  <w:r w:rsidRPr="007B24E1">
                    <w:rPr>
                      <w:rFonts w:ascii="Arial" w:hAnsi="Arial" w:cs="Arial"/>
                      <w:sz w:val="16"/>
                      <w:szCs w:val="20"/>
                    </w:rPr>
                    <w:t>two way</w:t>
                  </w:r>
                  <w:proofErr w:type="gramEnd"/>
                  <w:r w:rsidRPr="007B24E1">
                    <w:rPr>
                      <w:rFonts w:ascii="Arial" w:hAnsi="Arial" w:cs="Arial"/>
                      <w:sz w:val="16"/>
                      <w:szCs w:val="20"/>
                    </w:rPr>
                    <w:t xml:space="preserve"> flow on the adjoining road or intersection in the morning or afternoon transport peak within 10 years of the development completion;</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access onto a sub arterial, or arterial road or within 100m of a signalised intersection; </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Residential development greater than 50 lots or dwellings;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Offices greater than 4,000m</w:t>
                  </w:r>
                  <w:r w:rsidRPr="007B24E1">
                    <w:rPr>
                      <w:rFonts w:ascii="Arial" w:hAnsi="Arial" w:cs="Arial"/>
                      <w:sz w:val="16"/>
                      <w:szCs w:val="20"/>
                      <w:vertAlign w:val="superscript"/>
                    </w:rPr>
                    <w:t>2</w:t>
                  </w:r>
                  <w:r w:rsidRPr="007B24E1">
                    <w:rPr>
                      <w:rFonts w:ascii="Arial" w:hAnsi="Arial" w:cs="Arial"/>
                      <w:sz w:val="16"/>
                      <w:szCs w:val="20"/>
                    </w:rPr>
                    <w:t xml:space="preserve"> Gross Floor Area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Retail activities including Hardware and trade supplies, Showroom, Shop or Shopping centre greater than 1,000m</w:t>
                  </w:r>
                  <w:r w:rsidRPr="007B24E1">
                    <w:rPr>
                      <w:rFonts w:ascii="Arial" w:hAnsi="Arial" w:cs="Arial"/>
                      <w:sz w:val="16"/>
                      <w:szCs w:val="20"/>
                      <w:vertAlign w:val="superscript"/>
                    </w:rPr>
                    <w:t>2</w:t>
                  </w:r>
                  <w:r w:rsidRPr="007B24E1">
                    <w:rPr>
                      <w:rFonts w:ascii="Arial" w:hAnsi="Arial" w:cs="Arial"/>
                      <w:sz w:val="16"/>
                      <w:szCs w:val="20"/>
                    </w:rPr>
                    <w:t xml:space="preserve">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Warehouses and Industry greater than 6,000m</w:t>
                  </w:r>
                  <w:r w:rsidRPr="007B24E1">
                    <w:rPr>
                      <w:rFonts w:ascii="Arial" w:hAnsi="Arial" w:cs="Arial"/>
                      <w:sz w:val="16"/>
                      <w:szCs w:val="20"/>
                      <w:vertAlign w:val="superscript"/>
                    </w:rPr>
                    <w:t>2</w:t>
                  </w:r>
                  <w:r w:rsidRPr="007B24E1">
                    <w:rPr>
                      <w:rFonts w:ascii="Arial" w:hAnsi="Arial" w:cs="Arial"/>
                      <w:sz w:val="16"/>
                      <w:szCs w:val="20"/>
                    </w:rPr>
                    <w:t xml:space="preserve">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On-site carpark greater than 100 spaces;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has a trip generation rate of 100 vehicles or more within the peak hour;</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which dissects or significantly impacts on an environmental area or an environmental corridor.</w:t>
                  </w:r>
                </w:p>
                <w:p w:rsidR="00D148A0" w:rsidRPr="007B24E1" w:rsidRDefault="00D148A0" w:rsidP="00D148A0">
                  <w:pPr>
                    <w:rPr>
                      <w:rFonts w:ascii="Arial" w:hAnsi="Arial" w:cs="Arial"/>
                      <w:sz w:val="18"/>
                      <w:szCs w:val="20"/>
                    </w:rPr>
                  </w:pPr>
                  <w:r w:rsidRPr="007B24E1">
                    <w:rPr>
                      <w:rFonts w:ascii="Arial" w:hAnsi="Arial" w:cs="Arial"/>
                      <w:sz w:val="18"/>
                      <w:szCs w:val="20"/>
                    </w:rPr>
                    <w:lastRenderedPageBreak/>
                    <w:t xml:space="preserve">The ITA is to review the development’s impact upon the external road network for the period of 10 years from completion of the development. The ITA is to provide </w:t>
                  </w:r>
                  <w:proofErr w:type="gramStart"/>
                  <w:r w:rsidRPr="007B24E1">
                    <w:rPr>
                      <w:rFonts w:ascii="Arial" w:hAnsi="Arial" w:cs="Arial"/>
                      <w:sz w:val="18"/>
                      <w:szCs w:val="20"/>
                    </w:rPr>
                    <w:t>sufficient</w:t>
                  </w:r>
                  <w:proofErr w:type="gramEnd"/>
                  <w:r w:rsidRPr="007B24E1">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lastRenderedPageBreak/>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E7.1</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New intersections onto existing roads are designed to accommodate traffic volumes and traffic movements taken from a date 10 years from the date of completion of the last </w:t>
            </w:r>
            <w:r w:rsidRPr="00AC732E">
              <w:rPr>
                <w:rFonts w:ascii="Arial" w:hAnsi="Arial" w:cs="Arial"/>
                <w:sz w:val="20"/>
                <w:szCs w:val="20"/>
              </w:rPr>
              <w:lastRenderedPageBreak/>
              <w:t>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All turns vehicular access to existing lots is to be retained at new road intersections wherever practicable.</w:t>
                  </w:r>
                </w:p>
              </w:tc>
            </w:tr>
            <w:tr w:rsidR="00D148A0" w:rsidRPr="00AC732E" w:rsidTr="00D148A0">
              <w:trPr>
                <w:tblCellSpacing w:w="15" w:type="dxa"/>
              </w:trPr>
              <w:tc>
                <w:tcPr>
                  <w:tcW w:w="30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Existing on-street parking is to be retained at new road intersections and along road frontages wherever practicable.</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E7.2</w:t>
            </w:r>
          </w:p>
          <w:p w:rsidR="00D148A0" w:rsidRPr="00AC732E" w:rsidRDefault="00D148A0" w:rsidP="00D148A0">
            <w:pPr>
              <w:rPr>
                <w:rFonts w:ascii="Arial" w:hAnsi="Arial" w:cs="Arial"/>
                <w:sz w:val="20"/>
                <w:szCs w:val="20"/>
              </w:rPr>
            </w:pPr>
            <w:r w:rsidRPr="00AC732E">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All turns vehicular access to existing lots is to be retained at upgraded road intersections wherever practicable.</w:t>
                  </w:r>
                </w:p>
              </w:tc>
            </w:tr>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Existing on-street parking is to be retained at upgraded road intersections and along road frontages wherever practicable.</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E7.3</w:t>
            </w:r>
          </w:p>
          <w:p w:rsidR="00D148A0" w:rsidRPr="00AC732E" w:rsidRDefault="00D148A0" w:rsidP="00D148A0">
            <w:pPr>
              <w:rPr>
                <w:rFonts w:ascii="Arial" w:hAnsi="Arial" w:cs="Arial"/>
                <w:sz w:val="20"/>
                <w:szCs w:val="20"/>
              </w:rPr>
            </w:pPr>
            <w:r w:rsidRPr="00AC732E">
              <w:rPr>
                <w:rFonts w:ascii="Arial" w:hAnsi="Arial" w:cs="Arial"/>
                <w:sz w:val="20"/>
                <w:szCs w:val="20"/>
              </w:rPr>
              <w:t>The active transport network is extended in accordance with Planning scheme policy - Integrated design.</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PO8</w:t>
            </w:r>
          </w:p>
          <w:p w:rsidR="00D148A0" w:rsidRPr="00AC732E" w:rsidRDefault="00D148A0" w:rsidP="00D148A0">
            <w:pPr>
              <w:rPr>
                <w:rFonts w:ascii="Arial" w:hAnsi="Arial" w:cs="Arial"/>
                <w:sz w:val="20"/>
                <w:szCs w:val="20"/>
              </w:rPr>
            </w:pPr>
            <w:r w:rsidRPr="00AC732E">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w:t>
                  </w:r>
                  <w:r w:rsidRPr="007B24E1">
                    <w:rPr>
                      <w:rFonts w:ascii="Arial" w:hAnsi="Arial" w:cs="Arial"/>
                      <w:sz w:val="18"/>
                      <w:szCs w:val="20"/>
                    </w:rPr>
                    <w:lastRenderedPageBreak/>
                    <w:t>distances required for the intersection after considering vehicle speed and present/forecast turning and through volumes.</w:t>
                  </w:r>
                  <w:r w:rsidRPr="007B24E1">
                    <w:rPr>
                      <w:rFonts w:ascii="Arial" w:hAnsi="Arial" w:cs="Arial"/>
                      <w:sz w:val="18"/>
                      <w:szCs w:val="20"/>
                    </w:rPr>
                    <w:br/>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E8</w:t>
            </w:r>
          </w:p>
          <w:p w:rsidR="00D148A0" w:rsidRPr="00AC732E" w:rsidRDefault="00D148A0" w:rsidP="00D148A0">
            <w:pPr>
              <w:rPr>
                <w:rFonts w:ascii="Arial" w:hAnsi="Arial" w:cs="Arial"/>
                <w:sz w:val="20"/>
                <w:szCs w:val="20"/>
              </w:rPr>
            </w:pPr>
            <w:r w:rsidRPr="00AC732E">
              <w:rPr>
                <w:rFonts w:ascii="Arial" w:hAnsi="Arial" w:cs="Arial"/>
                <w:sz w:val="20"/>
                <w:szCs w:val="20"/>
              </w:rPr>
              <w:t>New intersection spacing (centreline – centreline) along a through road conforms with the following:</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access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60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60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40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 collector or sub-arterial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lastRenderedPageBreak/>
              <w:t>intersecting road located on the same side = 100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100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60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arterial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300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300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300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Based on the absolute minimum intersection spacing identified above, all turns access may not be permitted (</w:t>
                  </w:r>
                  <w:proofErr w:type="spellStart"/>
                  <w:r w:rsidRPr="007B24E1">
                    <w:rPr>
                      <w:rFonts w:ascii="Arial" w:hAnsi="Arial" w:cs="Arial"/>
                      <w:sz w:val="18"/>
                      <w:szCs w:val="20"/>
                    </w:rPr>
                    <w:t>ie</w:t>
                  </w:r>
                  <w:proofErr w:type="spellEnd"/>
                  <w:r w:rsidRPr="007B24E1">
                    <w:rPr>
                      <w:rFonts w:ascii="Arial" w:hAnsi="Arial" w:cs="Arial"/>
                      <w:sz w:val="18"/>
                      <w:szCs w:val="20"/>
                    </w:rPr>
                    <w:t>. left in/left out only) at intersections with sub-arterial roads or arterial roads.</w:t>
                  </w:r>
                </w:p>
              </w:tc>
            </w:tr>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All Council controlled frontage roads adjoining the development are designed and constructed in accordance with Planning scheme policy - Integrated design and </w:t>
            </w:r>
            <w:r w:rsidRPr="00AC732E">
              <w:rPr>
                <w:rFonts w:ascii="Arial" w:hAnsi="Arial" w:cs="Arial"/>
                <w:sz w:val="20"/>
                <w:szCs w:val="20"/>
              </w:rPr>
              <w:lastRenderedPageBreak/>
              <w:t>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Frontage roads include streets where no direct lot access is provided.</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Design and construct all Council controlled frontage roads in accordance with Planning scheme policy - Integrated design, </w:t>
            </w:r>
            <w:r w:rsidRPr="00AC732E">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39"/>
              <w:gridCol w:w="2739"/>
              <w:gridCol w:w="50"/>
            </w:tblGrid>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D148A0" w:rsidRPr="00AC732E" w:rsidRDefault="00D148A0" w:rsidP="00D148A0">
                  <w:pPr>
                    <w:rPr>
                      <w:rFonts w:ascii="Arial" w:hAnsi="Arial" w:cs="Arial"/>
                      <w:sz w:val="20"/>
                      <w:szCs w:val="20"/>
                    </w:rPr>
                  </w:pPr>
                  <w:r w:rsidRPr="00AC732E">
                    <w:rPr>
                      <w:rFonts w:ascii="Arial" w:hAnsi="Arial" w:cs="Arial"/>
                      <w:b/>
                      <w:bCs/>
                      <w:sz w:val="20"/>
                      <w:szCs w:val="20"/>
                    </w:rPr>
                    <w:t>Minimum construction</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Frontage road unconstructed or gravel road only;</w:t>
                  </w:r>
                </w:p>
                <w:p w:rsidR="00D148A0" w:rsidRPr="00AC732E" w:rsidRDefault="00D148A0" w:rsidP="00D148A0">
                  <w:pPr>
                    <w:rPr>
                      <w:rFonts w:ascii="Arial" w:hAnsi="Arial" w:cs="Arial"/>
                      <w:sz w:val="20"/>
                      <w:szCs w:val="20"/>
                    </w:rPr>
                  </w:pPr>
                  <w:r w:rsidRPr="00AC732E">
                    <w:rPr>
                      <w:rFonts w:ascii="Arial" w:hAnsi="Arial" w:cs="Arial"/>
                      <w:sz w:val="20"/>
                      <w:szCs w:val="20"/>
                    </w:rPr>
                    <w:t>OR</w:t>
                  </w:r>
                </w:p>
                <w:p w:rsidR="00D148A0" w:rsidRPr="00AC732E" w:rsidRDefault="00D148A0" w:rsidP="00D148A0">
                  <w:pPr>
                    <w:rPr>
                      <w:rFonts w:ascii="Arial" w:hAnsi="Arial" w:cs="Arial"/>
                      <w:sz w:val="20"/>
                      <w:szCs w:val="20"/>
                    </w:rPr>
                  </w:pPr>
                  <w:r w:rsidRPr="00AC732E">
                    <w:rPr>
                      <w:rFonts w:ascii="Arial" w:hAnsi="Arial" w:cs="Arial"/>
                      <w:sz w:val="20"/>
                      <w:szCs w:val="20"/>
                    </w:rPr>
                    <w:t>Frontage road sealed but not constructed* to Planning scheme policy - Integrated design standard;</w:t>
                  </w:r>
                </w:p>
                <w:p w:rsidR="00D148A0" w:rsidRPr="00AC732E" w:rsidRDefault="00D148A0" w:rsidP="00D148A0">
                  <w:pPr>
                    <w:rPr>
                      <w:rFonts w:ascii="Arial" w:hAnsi="Arial" w:cs="Arial"/>
                      <w:sz w:val="20"/>
                      <w:szCs w:val="20"/>
                    </w:rPr>
                  </w:pPr>
                  <w:r w:rsidRPr="00AC732E">
                    <w:rPr>
                      <w:rFonts w:ascii="Arial" w:hAnsi="Arial" w:cs="Arial"/>
                      <w:sz w:val="20"/>
                      <w:szCs w:val="20"/>
                    </w:rPr>
                    <w:t>OR</w:t>
                  </w:r>
                </w:p>
                <w:p w:rsidR="00D148A0" w:rsidRPr="00AC732E" w:rsidRDefault="00D148A0" w:rsidP="00D148A0">
                  <w:pPr>
                    <w:rPr>
                      <w:rFonts w:ascii="Arial" w:hAnsi="Arial" w:cs="Arial"/>
                      <w:sz w:val="20"/>
                      <w:szCs w:val="20"/>
                    </w:rPr>
                  </w:pPr>
                  <w:r w:rsidRPr="00AC732E">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D148A0" w:rsidRPr="00AC732E" w:rsidRDefault="00D148A0" w:rsidP="00D148A0">
                  <w:pPr>
                    <w:rPr>
                      <w:rFonts w:ascii="Arial" w:hAnsi="Arial" w:cs="Arial"/>
                      <w:sz w:val="20"/>
                      <w:szCs w:val="20"/>
                    </w:rPr>
                  </w:pPr>
                  <w:r w:rsidRPr="00AC732E">
                    <w:rPr>
                      <w:rFonts w:ascii="Arial" w:hAnsi="Arial" w:cs="Arial"/>
                      <w:sz w:val="20"/>
                      <w:szCs w:val="20"/>
                    </w:rPr>
                    <w:t>The minimum total travel lane width is:</w:t>
                  </w:r>
                </w:p>
                <w:p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6m for minor roads;</w:t>
                  </w:r>
                </w:p>
                <w:p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7m for major roads.</w:t>
                  </w:r>
                </w:p>
              </w:tc>
            </w:tr>
            <w:tr w:rsidR="00D148A0" w:rsidRPr="007B24E1" w:rsidTr="00D148A0">
              <w:tblPrEx>
                <w:tblBorders>
                  <w:top w:val="none" w:sz="0" w:space="0" w:color="auto"/>
                  <w:left w:val="none" w:sz="0" w:space="0" w:color="auto"/>
                  <w:bottom w:val="none" w:sz="0" w:space="0" w:color="auto"/>
                  <w:right w:val="none" w:sz="0" w:space="0" w:color="auto"/>
                </w:tblBorders>
              </w:tblPrEx>
              <w:trPr>
                <w:tblCellSpacing w:w="15" w:type="dxa"/>
              </w:trPr>
              <w:tc>
                <w:tcPr>
                  <w:tcW w:w="3007" w:type="dxa"/>
                  <w:gridSpan w:val="4"/>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Major roads are sub-arterial roads and arterial roads.  Minor roads are roads that are not major roads.</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Construction includes all associated works (services, street lighting and </w:t>
                  </w:r>
                  <w:proofErr w:type="spellStart"/>
                  <w:r w:rsidRPr="007B24E1">
                    <w:rPr>
                      <w:rFonts w:ascii="Arial" w:hAnsi="Arial" w:cs="Arial"/>
                      <w:sz w:val="18"/>
                      <w:szCs w:val="20"/>
                    </w:rPr>
                    <w:t>linemarking</w:t>
                  </w:r>
                  <w:proofErr w:type="spellEnd"/>
                  <w:r w:rsidRPr="007B24E1">
                    <w:rPr>
                      <w:rFonts w:ascii="Arial" w:hAnsi="Arial" w:cs="Arial"/>
                      <w:sz w:val="18"/>
                      <w:szCs w:val="20"/>
                    </w:rPr>
                    <w:t>)</w:t>
                  </w:r>
                </w:p>
              </w:tc>
            </w:tr>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Alignment within road reserves is to be agreed with Council.</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*Roads </w:t>
                  </w:r>
                  <w:proofErr w:type="gramStart"/>
                  <w:r w:rsidRPr="007B24E1">
                    <w:rPr>
                      <w:rFonts w:ascii="Arial" w:hAnsi="Arial" w:cs="Arial"/>
                      <w:sz w:val="18"/>
                      <w:szCs w:val="20"/>
                    </w:rPr>
                    <w:t>are considered to be</w:t>
                  </w:r>
                  <w:proofErr w:type="gramEnd"/>
                  <w:r w:rsidRPr="007B24E1">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Pr="007B24E1">
                    <w:rPr>
                      <w:rFonts w:ascii="Arial" w:hAnsi="Arial" w:cs="Arial"/>
                      <w:sz w:val="18"/>
                      <w:szCs w:val="20"/>
                    </w:rPr>
                    <w:lastRenderedPageBreak/>
                    <w:t>Operational works inspection, maintenance and bonding procedures.</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PO10</w:t>
            </w:r>
          </w:p>
          <w:p w:rsidR="00D148A0" w:rsidRPr="00AC732E" w:rsidRDefault="00D148A0" w:rsidP="00D148A0">
            <w:pPr>
              <w:rPr>
                <w:rFonts w:ascii="Arial" w:hAnsi="Arial" w:cs="Arial"/>
                <w:sz w:val="20"/>
                <w:szCs w:val="20"/>
              </w:rPr>
            </w:pPr>
            <w:r w:rsidRPr="00AC732E">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Editor's note - Where associated with a State-controlled road, further requirements may apply, and approvals may be required from the Department of Transport and Main Roads.</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E10</w:t>
            </w:r>
          </w:p>
          <w:p w:rsidR="00D148A0" w:rsidRPr="00AC732E" w:rsidRDefault="00D148A0" w:rsidP="00D148A0">
            <w:pPr>
              <w:rPr>
                <w:rFonts w:ascii="Arial" w:hAnsi="Arial" w:cs="Arial"/>
                <w:sz w:val="20"/>
                <w:szCs w:val="20"/>
              </w:rPr>
            </w:pPr>
            <w:r w:rsidRPr="00AC732E">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  </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320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Stormwater location and design</w:t>
            </w:r>
          </w:p>
        </w:tc>
        <w:tc>
          <w:tcPr>
            <w:tcW w:w="565" w:type="pct"/>
            <w:gridSpan w:val="3"/>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PO11</w:t>
            </w:r>
          </w:p>
          <w:p w:rsidR="00D148A0" w:rsidRPr="00AC732E" w:rsidRDefault="00D148A0" w:rsidP="00D148A0">
            <w:pPr>
              <w:rPr>
                <w:rFonts w:ascii="Arial" w:hAnsi="Arial" w:cs="Arial"/>
                <w:sz w:val="20"/>
                <w:szCs w:val="20"/>
              </w:rPr>
            </w:pPr>
            <w:r w:rsidRPr="00AC732E">
              <w:rPr>
                <w:rFonts w:ascii="Arial" w:hAnsi="Arial" w:cs="Arial"/>
                <w:sz w:val="20"/>
                <w:szCs w:val="20"/>
              </w:rPr>
              <w:t>Where development is for an urban purpose that involves a land 2500m</w:t>
            </w:r>
            <w:r w:rsidRPr="00AC732E">
              <w:rPr>
                <w:rFonts w:ascii="Arial" w:hAnsi="Arial" w:cs="Arial"/>
                <w:sz w:val="20"/>
                <w:szCs w:val="20"/>
                <w:vertAlign w:val="superscript"/>
              </w:rPr>
              <w:t>2</w:t>
            </w:r>
            <w:r w:rsidRPr="00AC732E">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11905"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 xml:space="preserve">Note - A </w:t>
                  </w:r>
                  <w:proofErr w:type="gramStart"/>
                  <w:r w:rsidRPr="007B24E1">
                    <w:rPr>
                      <w:rFonts w:ascii="Arial" w:hAnsi="Arial" w:cs="Arial"/>
                      <w:sz w:val="18"/>
                      <w:szCs w:val="20"/>
                    </w:rPr>
                    <w:t>site based</w:t>
                  </w:r>
                  <w:proofErr w:type="gramEnd"/>
                  <w:r w:rsidRPr="007B24E1">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PO12</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Development is designed and constructed to achieve Water Sensitive Urban Design best practice including:</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protection of existing natural features;</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integrating public open space with stormwater corridors or infrastructure;</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maintaining natural hydrologic behaviour of catchments and preserving the natural water cycle;</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protecting water quality environmental values of surface and ground waters;</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1190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more information and examples on water sensitive urban design.</w:t>
                  </w:r>
                </w:p>
              </w:tc>
            </w:tr>
            <w:tr w:rsidR="00D148A0" w:rsidRPr="00AC732E" w:rsidTr="00D148A0">
              <w:trPr>
                <w:tblCellSpacing w:w="15" w:type="dxa"/>
              </w:trPr>
              <w:tc>
                <w:tcPr>
                  <w:tcW w:w="1190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A </w:t>
                  </w:r>
                  <w:proofErr w:type="gramStart"/>
                  <w:r w:rsidRPr="007B24E1">
                    <w:rPr>
                      <w:rFonts w:ascii="Arial" w:hAnsi="Arial" w:cs="Arial"/>
                      <w:sz w:val="18"/>
                      <w:szCs w:val="20"/>
                    </w:rPr>
                    <w:t>site based</w:t>
                  </w:r>
                  <w:proofErr w:type="gramEnd"/>
                  <w:r w:rsidRPr="007B24E1">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PO13</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5000" w:type="pct"/>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 xml:space="preserve">Note - In order to achieve a lawful point of discharge, stormwater easements may also be </w:t>
                  </w:r>
                  <w:r w:rsidRPr="007B24E1">
                    <w:rPr>
                      <w:rFonts w:ascii="Arial" w:hAnsi="Arial" w:cs="Arial"/>
                      <w:sz w:val="18"/>
                      <w:szCs w:val="20"/>
                    </w:rPr>
                    <w:lastRenderedPageBreak/>
                    <w:t>required over temporary drainage channels/infrastructure where stormwater discharges to a balance lot prior to entering Council's stormwater drainage system</w:t>
                  </w:r>
                  <w:r w:rsidRPr="00AC732E">
                    <w:rPr>
                      <w:rFonts w:ascii="Arial" w:hAnsi="Arial" w:cs="Arial"/>
                      <w:sz w:val="20"/>
                      <w:szCs w:val="20"/>
                    </w:rPr>
                    <w:t>.</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E13</w:t>
            </w:r>
          </w:p>
          <w:p w:rsidR="00D148A0" w:rsidRPr="00AC732E" w:rsidRDefault="00D148A0" w:rsidP="00D148A0">
            <w:pPr>
              <w:rPr>
                <w:rFonts w:ascii="Arial" w:hAnsi="Arial" w:cs="Arial"/>
                <w:sz w:val="20"/>
                <w:szCs w:val="20"/>
              </w:rPr>
            </w:pPr>
            <w:r w:rsidRPr="00AC732E">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830"/>
              <w:gridCol w:w="2830"/>
              <w:gridCol w:w="50"/>
            </w:tblGrid>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Minimum Easement Width (excluding access requirements)</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3.0m</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4.0m</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Easement boundary to be 1m clear of the outside wall of the stormwater pipe (each side). </w:t>
                  </w:r>
                </w:p>
              </w:tc>
            </w:tr>
            <w:tr w:rsidR="00D148A0" w:rsidRPr="007B24E1" w:rsidTr="00D148A0">
              <w:tblPrEx>
                <w:tblBorders>
                  <w:top w:val="none" w:sz="0" w:space="0" w:color="auto"/>
                  <w:left w:val="none" w:sz="0" w:space="0" w:color="auto"/>
                  <w:bottom w:val="none" w:sz="0" w:space="0" w:color="auto"/>
                  <w:right w:val="none" w:sz="0" w:space="0" w:color="auto"/>
                </w:tblBorders>
              </w:tblPrEx>
              <w:trPr>
                <w:tblCellSpacing w:w="15" w:type="dxa"/>
              </w:trPr>
              <w:tc>
                <w:tcPr>
                  <w:tcW w:w="2987" w:type="dxa"/>
                  <w:gridSpan w:val="4"/>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Additional easement width may be required in certain circumstances in order to facilitate maintenance access to the stormwater system.</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776"/>
            </w:tblGrid>
            <w:tr w:rsidR="00D148A0" w:rsidRPr="007B24E1" w:rsidTr="00D148A0">
              <w:trPr>
                <w:tblCellSpacing w:w="15" w:type="dxa"/>
              </w:trPr>
              <w:tc>
                <w:tcPr>
                  <w:tcW w:w="300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easement requirements over open channels.</w:t>
                  </w:r>
                </w:p>
              </w:tc>
            </w:tr>
          </w:tbl>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PO14</w:t>
            </w:r>
          </w:p>
          <w:p w:rsidR="00D148A0" w:rsidRPr="00AC732E" w:rsidRDefault="00D148A0" w:rsidP="00D148A0">
            <w:pPr>
              <w:rPr>
                <w:rFonts w:ascii="Arial" w:hAnsi="Arial" w:cs="Arial"/>
                <w:sz w:val="20"/>
                <w:szCs w:val="20"/>
              </w:rPr>
            </w:pPr>
            <w:r w:rsidRPr="00AC732E">
              <w:rPr>
                <w:rFonts w:ascii="Arial" w:hAnsi="Arial" w:cs="Arial"/>
                <w:sz w:val="20"/>
                <w:szCs w:val="20"/>
              </w:rPr>
              <w:t>Stormwater management facilities are located outside of riparian areas and prevent increased channel bed and bank erosion.</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PO15</w:t>
            </w:r>
          </w:p>
          <w:p w:rsidR="00D148A0" w:rsidRPr="00AC732E" w:rsidRDefault="00D148A0" w:rsidP="00D148A0">
            <w:pPr>
              <w:rPr>
                <w:rFonts w:ascii="Arial" w:hAnsi="Arial" w:cs="Arial"/>
                <w:sz w:val="20"/>
                <w:szCs w:val="20"/>
              </w:rPr>
            </w:pPr>
            <w:r w:rsidRPr="00AC732E">
              <w:rPr>
                <w:rFonts w:ascii="Arial" w:hAnsi="Arial" w:cs="Arial"/>
                <w:sz w:val="20"/>
                <w:szCs w:val="20"/>
              </w:rPr>
              <w:t>Natural streams and riparian vegetation affected by development are retained and enhanced through revegetation.</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PO16</w:t>
            </w:r>
          </w:p>
          <w:p w:rsidR="00D148A0" w:rsidRPr="00AC732E" w:rsidRDefault="00D148A0" w:rsidP="00D148A0">
            <w:pPr>
              <w:rPr>
                <w:rFonts w:ascii="Arial" w:hAnsi="Arial" w:cs="Arial"/>
                <w:sz w:val="20"/>
                <w:szCs w:val="20"/>
              </w:rPr>
            </w:pPr>
            <w:r w:rsidRPr="00AC732E">
              <w:rPr>
                <w:rFonts w:ascii="Arial" w:hAnsi="Arial" w:cs="Arial"/>
                <w:sz w:val="20"/>
                <w:szCs w:val="20"/>
              </w:rPr>
              <w:t>Areas constructed as detention basins: </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lastRenderedPageBreak/>
              <w:t>are adaptable for passive recreation;</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appear to be a natural land form;</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provide practical access for maintenance purposes;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do not create safety or security issues by creating potential concealment areas;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have adequate setbacks to adjoining properties;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are located within land to be dedicated to Council as public land.</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E16</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Stormwater detention basins are designed and constructed in accordance with Planning scheme policy - Integrated design </w:t>
            </w:r>
            <w:r w:rsidRPr="00AC732E">
              <w:rPr>
                <w:rFonts w:ascii="Arial" w:hAnsi="Arial" w:cs="Arial"/>
                <w:sz w:val="20"/>
                <w:szCs w:val="20"/>
              </w:rPr>
              <w:lastRenderedPageBreak/>
              <w:t>(Appendix C) and Planning scheme policy - Operational works inspection, maintenance and bonding procedures.</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PO17</w:t>
            </w:r>
          </w:p>
          <w:p w:rsidR="00D148A0" w:rsidRPr="00AC732E" w:rsidRDefault="00D148A0" w:rsidP="00D148A0">
            <w:pPr>
              <w:rPr>
                <w:rFonts w:ascii="Arial" w:hAnsi="Arial" w:cs="Arial"/>
                <w:sz w:val="20"/>
                <w:szCs w:val="20"/>
              </w:rPr>
            </w:pPr>
            <w:r w:rsidRPr="00AC732E">
              <w:rPr>
                <w:rFonts w:ascii="Arial" w:hAnsi="Arial" w:cs="Arial"/>
                <w:sz w:val="20"/>
                <w:szCs w:val="20"/>
              </w:rPr>
              <w:t>Development maintains the environmental values of waterway ecosystems.</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PO18</w:t>
            </w:r>
          </w:p>
          <w:p w:rsidR="00D148A0" w:rsidRPr="00AC732E" w:rsidRDefault="00D148A0" w:rsidP="00D148A0">
            <w:pPr>
              <w:rPr>
                <w:rFonts w:ascii="Arial" w:hAnsi="Arial" w:cs="Arial"/>
                <w:sz w:val="20"/>
                <w:szCs w:val="20"/>
              </w:rPr>
            </w:pPr>
            <w:r w:rsidRPr="00AC732E">
              <w:rPr>
                <w:rFonts w:ascii="Arial" w:hAnsi="Arial" w:cs="Arial"/>
                <w:sz w:val="20"/>
                <w:szCs w:val="20"/>
              </w:rPr>
              <w:t>A constructed waterbody proposed to be dedicated as public asset is to be avoided, unless there is an overriding need in the public interest.</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Lots are of a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grade to accommodate effective stormwater drainage to a lawful point of discharge.</w:t>
            </w: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E19</w:t>
            </w:r>
          </w:p>
          <w:p w:rsidR="00D148A0" w:rsidRPr="00AC732E" w:rsidRDefault="00D148A0" w:rsidP="00D148A0">
            <w:pPr>
              <w:rPr>
                <w:rFonts w:ascii="Arial" w:hAnsi="Arial" w:cs="Arial"/>
                <w:sz w:val="20"/>
                <w:szCs w:val="20"/>
              </w:rPr>
            </w:pPr>
            <w:r w:rsidRPr="00AC732E">
              <w:rPr>
                <w:rFonts w:ascii="Arial" w:hAnsi="Arial" w:cs="Arial"/>
                <w:sz w:val="20"/>
                <w:szCs w:val="20"/>
              </w:rPr>
              <w:t>The surface level of a lot is at a minimum grade of 1:100 and slopes towards the street frontage, or other lawful point of discharge.</w:t>
            </w: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bl>
    <w:p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992"/>
        <w:gridCol w:w="4833"/>
        <w:gridCol w:w="763"/>
        <w:gridCol w:w="97"/>
        <w:gridCol w:w="1271"/>
        <w:gridCol w:w="531"/>
        <w:gridCol w:w="91"/>
        <w:gridCol w:w="3866"/>
      </w:tblGrid>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Boundary realignment</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PO20</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Boundary alignments ensure that infrastructure and services are wholly contained within the lot they serve.</w:t>
            </w:r>
          </w:p>
        </w:tc>
        <w:tc>
          <w:tcPr>
            <w:tcW w:w="1818"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D148A0">
            <w:pPr>
              <w:rPr>
                <w:rFonts w:ascii="Arial" w:hAnsi="Arial" w:cs="Arial"/>
                <w:sz w:val="20"/>
                <w:szCs w:val="20"/>
              </w:rPr>
            </w:pPr>
          </w:p>
        </w:tc>
        <w:tc>
          <w:tcPr>
            <w:tcW w:w="593"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PO21</w:t>
            </w:r>
          </w:p>
          <w:p w:rsidR="00D148A0" w:rsidRPr="00AC732E" w:rsidRDefault="00D148A0" w:rsidP="00D148A0">
            <w:pPr>
              <w:rPr>
                <w:rFonts w:ascii="Arial" w:hAnsi="Arial" w:cs="Arial"/>
                <w:sz w:val="20"/>
                <w:szCs w:val="20"/>
              </w:rPr>
            </w:pPr>
            <w:r w:rsidRPr="00AC732E">
              <w:rPr>
                <w:rFonts w:ascii="Arial" w:hAnsi="Arial" w:cs="Arial"/>
                <w:sz w:val="20"/>
                <w:szCs w:val="20"/>
              </w:rPr>
              <w:t>Boundary realignment does not result in existing land uses on-site becoming non-compliant with planning scheme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Examples may include but are not limited to:</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minimum lot size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setbacks;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parking and access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servicing and Infrastructure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dependant elements of an existing or approved land use being separately titled.</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71"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PO22</w:t>
            </w:r>
          </w:p>
          <w:p w:rsidR="00D148A0" w:rsidRPr="00AC732E" w:rsidRDefault="00D148A0" w:rsidP="00D148A0">
            <w:pPr>
              <w:rPr>
                <w:rFonts w:ascii="Arial" w:hAnsi="Arial" w:cs="Arial"/>
                <w:sz w:val="20"/>
                <w:szCs w:val="20"/>
              </w:rPr>
            </w:pPr>
            <w:r w:rsidRPr="00AC732E">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Note - Refer to overall outcomes for the Township zone, Convenience precinct for uses consistent in this precinct.</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Reconfiguring existing development by Community Title</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PO23</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 xml:space="preserve">Reconfiguring a lot which creates or amends a community title scheme as described in the </w:t>
            </w:r>
            <w:r w:rsidRPr="00AC732E">
              <w:rPr>
                <w:rFonts w:ascii="Arial" w:hAnsi="Arial" w:cs="Arial"/>
                <w:i/>
                <w:iCs/>
                <w:sz w:val="20"/>
                <w:szCs w:val="20"/>
              </w:rPr>
              <w:t>Body Corporate and Community Management Act 199</w:t>
            </w:r>
            <w:r w:rsidRPr="00AC732E">
              <w:rPr>
                <w:rFonts w:ascii="Arial" w:hAnsi="Arial" w:cs="Arial"/>
                <w:sz w:val="20"/>
                <w:szCs w:val="20"/>
              </w:rPr>
              <w:t>7 is undertaken in a way that does not result in existing uses on the land becoming unlawful or otherwise operating in a manner that is:</w:t>
            </w:r>
          </w:p>
          <w:p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any approvals on which those uses rely; or</w:t>
            </w:r>
          </w:p>
          <w:p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37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48"/>
            </w:tblGrid>
            <w:tr w:rsidR="00D148A0" w:rsidRPr="00AC732E" w:rsidTr="007B24E1">
              <w:trPr>
                <w:trHeight w:val="1990"/>
                <w:tblCellSpacing w:w="15" w:type="dxa"/>
              </w:trPr>
              <w:tc>
                <w:tcPr>
                  <w:tcW w:w="3688"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Examples of land uses becoming unlawful include, but are not limited to the following:</w:t>
                  </w:r>
                </w:p>
                <w:p w:rsidR="00D148A0" w:rsidRPr="007B24E1" w:rsidRDefault="00D148A0" w:rsidP="007B24E1">
                  <w:pPr>
                    <w:numPr>
                      <w:ilvl w:val="0"/>
                      <w:numId w:val="10"/>
                    </w:numPr>
                    <w:ind w:right="101"/>
                    <w:rPr>
                      <w:rFonts w:ascii="Arial" w:hAnsi="Arial" w:cs="Arial"/>
                      <w:sz w:val="18"/>
                      <w:szCs w:val="20"/>
                    </w:rPr>
                  </w:pPr>
                  <w:r w:rsidRPr="007B24E1">
                    <w:rPr>
                      <w:rFonts w:ascii="Arial" w:hAnsi="Arial" w:cs="Arial"/>
                      <w:sz w:val="18"/>
                      <w:szCs w:val="20"/>
                    </w:rPr>
                    <w:t>Land on which a Dual occupancy</w:t>
                  </w:r>
                  <w:r w:rsidRPr="007B24E1">
                    <w:rPr>
                      <w:rFonts w:ascii="Arial" w:hAnsi="Arial" w:cs="Arial"/>
                      <w:sz w:val="18"/>
                      <w:szCs w:val="20"/>
                      <w:vertAlign w:val="superscript"/>
                    </w:rPr>
                    <w:t>(</w:t>
                  </w:r>
                  <w:hyperlink r:id="rId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7B24E1">
                    <w:rPr>
                      <w:rFonts w:ascii="Arial" w:hAnsi="Arial" w:cs="Arial"/>
                      <w:sz w:val="18"/>
                      <w:szCs w:val="20"/>
                      <w:vertAlign w:val="superscript"/>
                    </w:rPr>
                    <w:t>(</w:t>
                  </w:r>
                  <w:hyperlink r:id="rId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to two separate Dwelling houses</w:t>
                  </w:r>
                  <w:r w:rsidRPr="007B24E1">
                    <w:rPr>
                      <w:rFonts w:ascii="Arial" w:hAnsi="Arial" w:cs="Arial"/>
                      <w:sz w:val="18"/>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at least one of which does not satisfy the requirements for accepted development applying to Dwelling houses</w:t>
                  </w:r>
                  <w:r w:rsidRPr="007B24E1">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w:t>
                  </w:r>
                </w:p>
                <w:p w:rsidR="007B24E1" w:rsidRPr="007B24E1" w:rsidRDefault="00D148A0" w:rsidP="007B24E1">
                  <w:pPr>
                    <w:numPr>
                      <w:ilvl w:val="0"/>
                      <w:numId w:val="10"/>
                    </w:numPr>
                    <w:ind w:right="379"/>
                    <w:rPr>
                      <w:rFonts w:ascii="Arial" w:hAnsi="Arial" w:cs="Arial"/>
                      <w:sz w:val="20"/>
                      <w:szCs w:val="20"/>
                    </w:rPr>
                  </w:pPr>
                  <w:r w:rsidRPr="007B24E1">
                    <w:rPr>
                      <w:rFonts w:ascii="Arial" w:hAnsi="Arial" w:cs="Arial"/>
                      <w:sz w:val="18"/>
                      <w:szCs w:val="20"/>
                    </w:rPr>
                    <w:t>Land on which a Multiple dwelling</w:t>
                  </w:r>
                  <w:r w:rsidRPr="007B24E1">
                    <w:rPr>
                      <w:rFonts w:ascii="Arial" w:hAnsi="Arial" w:cs="Arial"/>
                      <w:sz w:val="18"/>
                      <w:szCs w:val="20"/>
                      <w:vertAlign w:val="superscript"/>
                    </w:rPr>
                    <w:t>(</w:t>
                  </w:r>
                  <w:hyperlink r:id="rId11"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w:t>
                  </w:r>
                  <w:r w:rsidRPr="007B24E1">
                    <w:rPr>
                      <w:rFonts w:ascii="Arial" w:hAnsi="Arial" w:cs="Arial"/>
                      <w:sz w:val="18"/>
                      <w:szCs w:val="20"/>
                    </w:rPr>
                    <w:lastRenderedPageBreak/>
                    <w:t>routes to those facilities. Those communal facilities may have been required under the requirements for accepted development for the use or conditions of development approval.</w:t>
                  </w:r>
                </w:p>
              </w:tc>
            </w:tr>
            <w:tr w:rsidR="00D148A0" w:rsidRPr="00AC732E" w:rsidTr="007B24E1">
              <w:trPr>
                <w:trHeight w:val="1246"/>
                <w:tblCellSpacing w:w="15" w:type="dxa"/>
              </w:trPr>
              <w:tc>
                <w:tcPr>
                  <w:tcW w:w="3688"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D148A0">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b/>
                <w:bCs/>
                <w:sz w:val="20"/>
                <w:szCs w:val="20"/>
              </w:rPr>
            </w:pPr>
            <w:r w:rsidRPr="00AC732E">
              <w:rPr>
                <w:rFonts w:ascii="Arial" w:hAnsi="Arial" w:cs="Arial"/>
                <w:b/>
                <w:bCs/>
                <w:sz w:val="20"/>
                <w:szCs w:val="20"/>
              </w:rPr>
              <w:lastRenderedPageBreak/>
              <w:t>Reconfiguring by Lease</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PO24</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any approvals on which those uses rely; or</w:t>
            </w:r>
          </w:p>
          <w:p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An example of a land use becoming unlawful is a Multiple dwelling</w:t>
                  </w:r>
                  <w:r w:rsidRPr="007B24E1">
                    <w:rPr>
                      <w:rFonts w:ascii="Arial" w:hAnsi="Arial" w:cs="Arial"/>
                      <w:sz w:val="18"/>
                      <w:szCs w:val="20"/>
                      <w:vertAlign w:val="superscript"/>
                    </w:rPr>
                    <w:t>(</w:t>
                  </w:r>
                  <w:hyperlink r:id="rId12"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over which one or more leases have been created in a way that precludes lawful access to some of the required communal facilities. Some of the </w:t>
                  </w:r>
                  <w:r w:rsidRPr="007B24E1">
                    <w:rPr>
                      <w:rFonts w:ascii="Arial" w:hAnsi="Arial" w:cs="Arial"/>
                      <w:sz w:val="18"/>
                      <w:szCs w:val="20"/>
                    </w:rPr>
                    <w:lastRenderedPageBreak/>
                    <w:t xml:space="preserve">communal car parking facilities have been incorporated into lease areas while other leases </w:t>
                  </w:r>
                  <w:proofErr w:type="gramStart"/>
                  <w:r w:rsidRPr="007B24E1">
                    <w:rPr>
                      <w:rFonts w:ascii="Arial" w:hAnsi="Arial" w:cs="Arial"/>
                      <w:sz w:val="18"/>
                      <w:szCs w:val="20"/>
                    </w:rPr>
                    <w:t>are located in</w:t>
                  </w:r>
                  <w:proofErr w:type="gramEnd"/>
                  <w:r w:rsidRPr="007B24E1">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7B24E1">
                    <w:rPr>
                      <w:rFonts w:ascii="Arial" w:hAnsi="Arial" w:cs="Arial"/>
                      <w:sz w:val="18"/>
                      <w:szCs w:val="20"/>
                      <w:vertAlign w:val="superscript"/>
                    </w:rPr>
                    <w:t>(</w:t>
                  </w:r>
                  <w:hyperlink r:id="rId13"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w:t>
                  </w:r>
                </w:p>
              </w:tc>
            </w:tr>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lastRenderedPageBreak/>
                    <w:t>Editor's note -To satisfy this performance outcome, the development application may need to be supported by details that confirm that the land use still satisfies all relevant land use requirements.</w:t>
                  </w:r>
                </w:p>
              </w:tc>
            </w:tr>
          </w:tbl>
          <w:p w:rsidR="00D148A0" w:rsidRPr="00AC732E" w:rsidRDefault="00D148A0" w:rsidP="00D148A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Editor's note -Under the definition in Schedule 2 of the Act, the following do not constitute reconfiguring a lot and are not subject to this performance outcome:</w:t>
                  </w:r>
                </w:p>
                <w:p w:rsidR="00D148A0" w:rsidRPr="007B24E1" w:rsidRDefault="00D148A0" w:rsidP="00D148A0">
                  <w:pPr>
                    <w:numPr>
                      <w:ilvl w:val="0"/>
                      <w:numId w:val="12"/>
                    </w:numPr>
                    <w:rPr>
                      <w:rFonts w:ascii="Arial" w:hAnsi="Arial" w:cs="Arial"/>
                      <w:sz w:val="18"/>
                      <w:szCs w:val="20"/>
                    </w:rPr>
                  </w:pPr>
                  <w:r w:rsidRPr="007B24E1">
                    <w:rPr>
                      <w:rFonts w:ascii="Arial" w:hAnsi="Arial" w:cs="Arial"/>
                      <w:sz w:val="18"/>
                      <w:szCs w:val="20"/>
                    </w:rPr>
                    <w:t>a lease for a term, including renewal options, not exceeding 10 years; and</w:t>
                  </w:r>
                </w:p>
                <w:p w:rsidR="00D148A0" w:rsidRPr="00AC732E" w:rsidRDefault="00D148A0" w:rsidP="00D148A0">
                  <w:pPr>
                    <w:numPr>
                      <w:ilvl w:val="0"/>
                      <w:numId w:val="12"/>
                    </w:numPr>
                    <w:rPr>
                      <w:rFonts w:ascii="Arial" w:hAnsi="Arial" w:cs="Arial"/>
                      <w:sz w:val="20"/>
                      <w:szCs w:val="20"/>
                    </w:rPr>
                  </w:pPr>
                  <w:r w:rsidRPr="007B24E1">
                    <w:rPr>
                      <w:rFonts w:ascii="Arial" w:hAnsi="Arial" w:cs="Arial"/>
                      <w:sz w:val="18"/>
                      <w:szCs w:val="20"/>
                    </w:rPr>
                    <w:t xml:space="preserve">an agreement for the exclusive use of part of the common property for a community titles scheme under the </w:t>
                  </w:r>
                  <w:r w:rsidRPr="007B24E1">
                    <w:rPr>
                      <w:rFonts w:ascii="Arial" w:hAnsi="Arial" w:cs="Arial"/>
                      <w:i/>
                      <w:iCs/>
                      <w:sz w:val="18"/>
                      <w:szCs w:val="20"/>
                    </w:rPr>
                    <w:t>Body Corporate and Community Management Act 1997</w:t>
                  </w:r>
                  <w:r w:rsidRPr="007B24E1">
                    <w:rPr>
                      <w:rFonts w:ascii="Arial" w:hAnsi="Arial" w:cs="Arial"/>
                      <w:sz w:val="18"/>
                      <w:szCs w:val="20"/>
                    </w:rPr>
                    <w:t>.</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Volumetric subdivision</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PO25</w:t>
            </w:r>
          </w:p>
          <w:p w:rsidR="00D148A0" w:rsidRPr="00AC732E" w:rsidRDefault="00D148A0" w:rsidP="00D148A0">
            <w:pPr>
              <w:rPr>
                <w:rFonts w:ascii="Arial" w:hAnsi="Arial" w:cs="Arial"/>
                <w:sz w:val="20"/>
                <w:szCs w:val="20"/>
              </w:rPr>
            </w:pPr>
            <w:r w:rsidRPr="00AC732E">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unlawful.</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83"/>
            </w:tblGrid>
            <w:tr w:rsidR="00D148A0" w:rsidRPr="00AC732E" w:rsidTr="00D148A0">
              <w:trPr>
                <w:tblCellSpacing w:w="15" w:type="dxa"/>
              </w:trPr>
              <w:tc>
                <w:tcPr>
                  <w:tcW w:w="14523" w:type="dxa"/>
                  <w:vAlign w:val="center"/>
                  <w:hideMark/>
                </w:tcPr>
                <w:p w:rsidR="00D148A0" w:rsidRPr="007B24E1" w:rsidRDefault="00D148A0" w:rsidP="00D148A0">
                  <w:pPr>
                    <w:ind w:right="10635"/>
                    <w:rPr>
                      <w:rFonts w:ascii="Arial" w:hAnsi="Arial" w:cs="Arial"/>
                      <w:sz w:val="18"/>
                      <w:szCs w:val="20"/>
                    </w:rPr>
                  </w:pPr>
                  <w:r w:rsidRPr="007B24E1">
                    <w:rPr>
                      <w:rFonts w:ascii="Arial" w:hAnsi="Arial" w:cs="Arial"/>
                      <w:sz w:val="18"/>
                      <w:szCs w:val="20"/>
                    </w:rPr>
                    <w:lastRenderedPageBreak/>
                    <w:t>Note - Examples may include but are not limited to:</w:t>
                  </w:r>
                </w:p>
                <w:p w:rsidR="00D148A0" w:rsidRPr="007B24E1" w:rsidRDefault="00D148A0" w:rsidP="00812EAA">
                  <w:pPr>
                    <w:numPr>
                      <w:ilvl w:val="0"/>
                      <w:numId w:val="13"/>
                    </w:numPr>
                    <w:ind w:right="10921"/>
                    <w:rPr>
                      <w:rFonts w:ascii="Arial" w:hAnsi="Arial" w:cs="Arial"/>
                      <w:sz w:val="18"/>
                      <w:szCs w:val="20"/>
                    </w:rPr>
                  </w:pPr>
                  <w:r w:rsidRPr="007B24E1">
                    <w:rPr>
                      <w:rFonts w:ascii="Arial" w:hAnsi="Arial" w:cs="Arial"/>
                      <w:sz w:val="18"/>
                      <w:szCs w:val="20"/>
                    </w:rPr>
                    <w:t>Where premises are approved as Multiple dwelling</w:t>
                  </w:r>
                  <w:r w:rsidRPr="007B24E1">
                    <w:rPr>
                      <w:rFonts w:ascii="Arial" w:hAnsi="Arial" w:cs="Arial"/>
                      <w:sz w:val="18"/>
                      <w:szCs w:val="20"/>
                      <w:vertAlign w:val="superscript"/>
                    </w:rPr>
                    <w:t>(</w:t>
                  </w:r>
                  <w:hyperlink r:id="rId14"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with a communal open space area, the communal open space cannot be separately titled as it is required by the Multiple dwelling</w:t>
                  </w:r>
                  <w:r w:rsidRPr="007B24E1">
                    <w:rPr>
                      <w:rFonts w:ascii="Arial" w:hAnsi="Arial" w:cs="Arial"/>
                      <w:sz w:val="18"/>
                      <w:szCs w:val="20"/>
                      <w:vertAlign w:val="superscript"/>
                    </w:rPr>
                    <w:t>(</w:t>
                  </w:r>
                  <w:hyperlink r:id="rId15"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approval.</w:t>
                  </w:r>
                </w:p>
                <w:p w:rsidR="00D148A0" w:rsidRPr="007B24E1" w:rsidRDefault="00D148A0" w:rsidP="00812EAA">
                  <w:pPr>
                    <w:numPr>
                      <w:ilvl w:val="0"/>
                      <w:numId w:val="13"/>
                    </w:numPr>
                    <w:tabs>
                      <w:tab w:val="clear" w:pos="720"/>
                      <w:tab w:val="decimal" w:pos="713"/>
                    </w:tabs>
                    <w:ind w:right="10921"/>
                    <w:rPr>
                      <w:rFonts w:ascii="Arial" w:hAnsi="Arial" w:cs="Arial"/>
                      <w:sz w:val="18"/>
                      <w:szCs w:val="20"/>
                    </w:rPr>
                  </w:pPr>
                  <w:r w:rsidRPr="007B24E1">
                    <w:rPr>
                      <w:rFonts w:ascii="Arial" w:hAnsi="Arial" w:cs="Arial"/>
                      <w:sz w:val="18"/>
                      <w:szCs w:val="20"/>
                    </w:rPr>
                    <w:t>Where a commercial or industrial land use contains an ancillary office</w:t>
                  </w:r>
                  <w:r w:rsidRPr="007B24E1">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the office</w:t>
                  </w:r>
                  <w:r w:rsidRPr="007B24E1">
                    <w:rPr>
                      <w:rFonts w:ascii="Arial" w:hAnsi="Arial" w:cs="Arial"/>
                      <w:sz w:val="18"/>
                      <w:szCs w:val="20"/>
                      <w:vertAlign w:val="superscript"/>
                    </w:rPr>
                    <w:t>(</w:t>
                  </w:r>
                  <w:hyperlink r:id="rId17"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xml:space="preserve"> cannot be separately titled as it is considered part of the commercial or industrial use.</w:t>
                  </w:r>
                </w:p>
                <w:p w:rsidR="00D148A0" w:rsidRPr="00AC732E" w:rsidRDefault="00D148A0" w:rsidP="00812EAA">
                  <w:pPr>
                    <w:numPr>
                      <w:ilvl w:val="0"/>
                      <w:numId w:val="13"/>
                    </w:numPr>
                    <w:tabs>
                      <w:tab w:val="clear" w:pos="720"/>
                      <w:tab w:val="decimal" w:pos="713"/>
                      <w:tab w:val="decimal" w:pos="3406"/>
                    </w:tabs>
                    <w:ind w:right="11063"/>
                    <w:rPr>
                      <w:rFonts w:ascii="Arial" w:hAnsi="Arial" w:cs="Arial"/>
                      <w:sz w:val="20"/>
                      <w:szCs w:val="20"/>
                    </w:rPr>
                  </w:pPr>
                  <w:r w:rsidRPr="007B24E1">
                    <w:rPr>
                      <w:rFonts w:ascii="Arial" w:hAnsi="Arial" w:cs="Arial"/>
                      <w:sz w:val="18"/>
                      <w:szCs w:val="20"/>
                    </w:rPr>
                    <w:t>Where a Dwelling house</w:t>
                  </w:r>
                  <w:r w:rsidRPr="007B24E1">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includes a secondary dwelling or associated outbuildings, they cannot be separately titled as they are dependent on the Dwelling house</w:t>
                  </w:r>
                  <w:r w:rsidRPr="007B24E1">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use.</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812EAA">
            <w:pPr>
              <w:jc w:val="center"/>
              <w:rPr>
                <w:rFonts w:ascii="Arial" w:hAnsi="Arial" w:cs="Arial"/>
                <w:sz w:val="20"/>
                <w:szCs w:val="20"/>
              </w:rPr>
            </w:pPr>
          </w:p>
          <w:p w:rsidR="00812EAA" w:rsidRPr="00AC732E" w:rsidRDefault="00812EAA" w:rsidP="00812EAA">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812EAA"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rsidR="00812EAA" w:rsidRPr="00AC732E" w:rsidRDefault="00812EAA" w:rsidP="00D148A0">
            <w:pPr>
              <w:rPr>
                <w:rFonts w:ascii="Arial" w:hAnsi="Arial" w:cs="Arial"/>
                <w:b/>
                <w:bCs/>
                <w:sz w:val="20"/>
                <w:szCs w:val="20"/>
              </w:rPr>
            </w:pPr>
            <w:r w:rsidRPr="00AC732E">
              <w:rPr>
                <w:rFonts w:ascii="Arial" w:hAnsi="Arial" w:cs="Arial"/>
                <w:b/>
                <w:bCs/>
                <w:sz w:val="20"/>
                <w:szCs w:val="20"/>
              </w:rPr>
              <w:t>Access Easements</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PO26</w:t>
            </w:r>
          </w:p>
          <w:p w:rsidR="00D148A0" w:rsidRPr="00AC732E" w:rsidRDefault="00D148A0" w:rsidP="00D148A0">
            <w:pPr>
              <w:rPr>
                <w:rFonts w:ascii="Arial" w:hAnsi="Arial" w:cs="Arial"/>
                <w:sz w:val="20"/>
                <w:szCs w:val="20"/>
              </w:rPr>
            </w:pPr>
            <w:r w:rsidRPr="00AC732E">
              <w:rPr>
                <w:rFonts w:ascii="Arial" w:hAnsi="Arial" w:cs="Arial"/>
                <w:sz w:val="20"/>
                <w:szCs w:val="20"/>
              </w:rPr>
              <w:t>Access easements contain a driveway constructed to an appropriate standard for the intended use. </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PO27</w:t>
            </w:r>
          </w:p>
          <w:p w:rsidR="00D148A0" w:rsidRPr="00AC732E" w:rsidRDefault="00D148A0" w:rsidP="00D148A0">
            <w:pPr>
              <w:rPr>
                <w:rFonts w:ascii="Arial" w:hAnsi="Arial" w:cs="Arial"/>
                <w:sz w:val="20"/>
                <w:szCs w:val="20"/>
              </w:rPr>
            </w:pPr>
            <w:r w:rsidRPr="00AC732E">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PO28</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The easement covers all works associated with the access.</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E28</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The easement covers all driveway construction including cut and fill batters, drainage works and utility services.</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PO29</w:t>
            </w:r>
          </w:p>
          <w:p w:rsidR="00D148A0" w:rsidRPr="00AC732E" w:rsidRDefault="00D148A0" w:rsidP="00D148A0">
            <w:pPr>
              <w:rPr>
                <w:rFonts w:ascii="Arial" w:hAnsi="Arial" w:cs="Arial"/>
                <w:sz w:val="20"/>
                <w:szCs w:val="20"/>
              </w:rPr>
            </w:pPr>
            <w:r w:rsidRPr="00AC732E">
              <w:rPr>
                <w:rFonts w:ascii="Arial" w:hAnsi="Arial" w:cs="Arial"/>
                <w:sz w:val="20"/>
                <w:szCs w:val="20"/>
              </w:rPr>
              <w:t>Relocation or alteration of existing services are undertaken as a result of the access easement.</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812EAA"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rsidR="00812EAA" w:rsidRPr="00AC732E" w:rsidRDefault="00812EAA" w:rsidP="00D148A0">
            <w:pPr>
              <w:rPr>
                <w:rFonts w:ascii="Arial" w:hAnsi="Arial" w:cs="Arial"/>
                <w:b/>
                <w:bCs/>
                <w:sz w:val="20"/>
                <w:szCs w:val="20"/>
              </w:rPr>
            </w:pPr>
            <w:r w:rsidRPr="00AC732E">
              <w:rPr>
                <w:rFonts w:ascii="Arial" w:hAnsi="Arial" w:cs="Arial"/>
                <w:b/>
                <w:bCs/>
                <w:sz w:val="20"/>
                <w:szCs w:val="20"/>
              </w:rPr>
              <w:t>Stormwater management system</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PO30</w:t>
            </w:r>
          </w:p>
          <w:p w:rsidR="00812EAA" w:rsidRPr="00AC732E" w:rsidRDefault="00812EAA" w:rsidP="00812EAA">
            <w:pPr>
              <w:rPr>
                <w:rFonts w:ascii="Arial" w:hAnsi="Arial" w:cs="Arial"/>
                <w:sz w:val="20"/>
                <w:szCs w:val="20"/>
              </w:rPr>
            </w:pPr>
            <w:r w:rsidRPr="00AC732E">
              <w:rPr>
                <w:rFonts w:ascii="Arial" w:hAnsi="Arial" w:cs="Arial"/>
                <w:sz w:val="20"/>
                <w:szCs w:val="20"/>
              </w:rPr>
              <w:t>The major drainage system has the capacity to safely convey stormwater flows for the defined flood event.</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E30</w:t>
            </w:r>
          </w:p>
          <w:p w:rsidR="00812EAA" w:rsidRPr="00AC732E" w:rsidRDefault="00812EAA" w:rsidP="00812EAA">
            <w:pPr>
              <w:rPr>
                <w:rFonts w:ascii="Arial" w:hAnsi="Arial" w:cs="Arial"/>
                <w:sz w:val="20"/>
                <w:szCs w:val="20"/>
              </w:rPr>
            </w:pPr>
            <w:r w:rsidRPr="00AC732E">
              <w:rPr>
                <w:rFonts w:ascii="Arial" w:hAnsi="Arial" w:cs="Arial"/>
                <w:sz w:val="20"/>
                <w:szCs w:val="20"/>
              </w:rPr>
              <w:t>The roads, drainage pathways, drainage features and waterways safely convey the stormwater flows for the defined flood event without allowing flows to encroach upon private lots.</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PO31</w:t>
            </w:r>
          </w:p>
          <w:p w:rsidR="00812EAA" w:rsidRPr="00AC732E" w:rsidRDefault="00812EAA" w:rsidP="00812EAA">
            <w:pPr>
              <w:rPr>
                <w:rFonts w:ascii="Arial" w:hAnsi="Arial" w:cs="Arial"/>
                <w:sz w:val="20"/>
                <w:szCs w:val="20"/>
              </w:rPr>
            </w:pPr>
            <w:r w:rsidRPr="00AC732E">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E31</w:t>
            </w:r>
          </w:p>
          <w:p w:rsidR="00812EAA" w:rsidRPr="00AC732E" w:rsidRDefault="00812EAA" w:rsidP="00812EAA">
            <w:pPr>
              <w:rPr>
                <w:rFonts w:ascii="Arial" w:hAnsi="Arial" w:cs="Arial"/>
                <w:sz w:val="20"/>
                <w:szCs w:val="20"/>
              </w:rPr>
            </w:pPr>
            <w:r w:rsidRPr="00AC732E">
              <w:rPr>
                <w:rFonts w:ascii="Arial" w:hAnsi="Arial" w:cs="Arial"/>
                <w:sz w:val="20"/>
                <w:szCs w:val="20"/>
              </w:rPr>
              <w:t>Drainage pathways are provided to accommodate overland flows from roads and public open space areas</w:t>
            </w:r>
            <w:r w:rsidRPr="00AC732E">
              <w:rPr>
                <w:rFonts w:ascii="Arial" w:hAnsi="Arial" w:cs="Arial"/>
                <w:i/>
                <w:iCs/>
                <w:sz w:val="20"/>
                <w:szCs w:val="20"/>
              </w:rPr>
              <w:t>. </w:t>
            </w:r>
            <w:r w:rsidRPr="00AC732E">
              <w:rPr>
                <w:rFonts w:ascii="Arial" w:hAnsi="Arial" w:cs="Arial"/>
                <w:sz w:val="20"/>
                <w:szCs w:val="20"/>
              </w:rPr>
              <w:t>The overland flow paths have a minimum width of 8m and are designed and constructed to allow safe and convenient access for pedestrians and cyclists.</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PO32</w:t>
            </w:r>
          </w:p>
          <w:p w:rsidR="00812EAA" w:rsidRPr="00AC732E" w:rsidRDefault="00812EAA" w:rsidP="00812EAA">
            <w:pPr>
              <w:rPr>
                <w:rFonts w:ascii="Arial" w:hAnsi="Arial" w:cs="Arial"/>
                <w:sz w:val="20"/>
                <w:szCs w:val="20"/>
              </w:rPr>
            </w:pPr>
            <w:r w:rsidRPr="00AC732E">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w:t>
            </w:r>
            <w:r w:rsidRPr="00AC732E">
              <w:rPr>
                <w:rFonts w:ascii="Arial" w:hAnsi="Arial" w:cs="Arial"/>
                <w:sz w:val="20"/>
                <w:szCs w:val="20"/>
              </w:rPr>
              <w:lastRenderedPageBreak/>
              <w:t>premises or blockage of a surface flow relief path for flows exceeding the design flows for any underground system within the development.</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lastRenderedPageBreak/>
              <w:t>E32</w:t>
            </w:r>
          </w:p>
          <w:p w:rsidR="00812EAA" w:rsidRPr="00AC732E" w:rsidRDefault="00812EAA" w:rsidP="00812EAA">
            <w:pPr>
              <w:rPr>
                <w:rFonts w:ascii="Arial" w:hAnsi="Arial" w:cs="Arial"/>
                <w:sz w:val="20"/>
                <w:szCs w:val="20"/>
              </w:rPr>
            </w:pPr>
            <w:r w:rsidRPr="00AC732E">
              <w:rPr>
                <w:rFonts w:ascii="Arial" w:hAnsi="Arial" w:cs="Arial"/>
                <w:sz w:val="20"/>
                <w:szCs w:val="20"/>
              </w:rPr>
              <w:t>The stormwater drainage system is designed and constructed in accordance with Planning scheme policy - Integrated design.</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ind w:left="515"/>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PO33</w:t>
            </w:r>
          </w:p>
          <w:p w:rsidR="00812EAA" w:rsidRPr="00AC732E" w:rsidRDefault="00812EAA" w:rsidP="00812EAA">
            <w:pPr>
              <w:rPr>
                <w:rFonts w:ascii="Arial" w:hAnsi="Arial" w:cs="Arial"/>
                <w:sz w:val="20"/>
                <w:szCs w:val="20"/>
              </w:rPr>
            </w:pPr>
            <w:r w:rsidRPr="00AC732E">
              <w:rPr>
                <w:rFonts w:ascii="Arial" w:hAnsi="Arial" w:cs="Arial"/>
                <w:sz w:val="20"/>
                <w:szCs w:val="20"/>
              </w:rPr>
              <w:t>The stormwater management system is designed to:</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the environmental values in downstream waterways;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ground water recharge areas;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preserve existing natural wetlands and associated buffers;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avoid disturbing soils or sediments;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avoid altering the natural hydrologic regime in acid sulfate soil and nutrient hazardous areas;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and improve receiving water quality;</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waterway configuration;</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wetlands and vegetation;</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downstream and adjacent properties;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and enhance riparian areas.</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sz w:val="20"/>
                <w:szCs w:val="20"/>
              </w:rPr>
              <w:t>No example provided.</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lastRenderedPageBreak/>
              <w:t>PO34</w:t>
            </w:r>
          </w:p>
          <w:p w:rsidR="00812EAA" w:rsidRPr="00AC732E" w:rsidRDefault="00812EAA" w:rsidP="00812EAA">
            <w:pPr>
              <w:rPr>
                <w:rFonts w:ascii="Arial" w:hAnsi="Arial" w:cs="Arial"/>
                <w:sz w:val="20"/>
                <w:szCs w:val="20"/>
              </w:rPr>
            </w:pPr>
            <w:r w:rsidRPr="00AC732E">
              <w:rPr>
                <w:rFonts w:ascii="Arial" w:hAnsi="Arial" w:cs="Arial"/>
                <w:sz w:val="20"/>
                <w:szCs w:val="20"/>
              </w:rPr>
              <w:t>Design and construction of the stormwater management system:</w:t>
            </w:r>
          </w:p>
          <w:p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utilise methods and materials to minimise the whole of lifecycle costs of the stormwater management system; and</w:t>
            </w:r>
          </w:p>
          <w:p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812EAA" w:rsidRPr="00AC732E" w:rsidTr="00900A47">
              <w:trPr>
                <w:tblCellSpacing w:w="15" w:type="dxa"/>
              </w:trPr>
              <w:tc>
                <w:tcPr>
                  <w:tcW w:w="10407" w:type="dxa"/>
                  <w:vAlign w:val="center"/>
                  <w:hideMark/>
                </w:tcPr>
                <w:p w:rsidR="00812EAA" w:rsidRPr="00AC732E" w:rsidRDefault="00812EAA" w:rsidP="00812EAA">
                  <w:pPr>
                    <w:rPr>
                      <w:rFonts w:ascii="Arial" w:hAnsi="Arial" w:cs="Arial"/>
                      <w:sz w:val="20"/>
                      <w:szCs w:val="20"/>
                    </w:rPr>
                  </w:pPr>
                  <w:r w:rsidRPr="007B24E1">
                    <w:rPr>
                      <w:rFonts w:ascii="Arial" w:hAnsi="Arial" w:cs="Arial"/>
                      <w:sz w:val="18"/>
                      <w:szCs w:val="20"/>
                    </w:rPr>
                    <w:t>Note - Refer to Planning scheme policy - Integrated design for guidance on how to demonstrate achievement of this performance outcome.</w:t>
                  </w:r>
                </w:p>
              </w:tc>
            </w:tr>
          </w:tbl>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sz w:val="20"/>
                <w:szCs w:val="20"/>
              </w:rPr>
              <w:t>No example provided.</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bl>
    <w:p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45"/>
        <w:gridCol w:w="211"/>
        <w:gridCol w:w="140"/>
        <w:gridCol w:w="4984"/>
        <w:gridCol w:w="1919"/>
        <w:gridCol w:w="4445"/>
      </w:tblGrid>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Native vegetation where not located in the Environmental areas overlay</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304" w:type="pct"/>
            <w:gridSpan w:val="3"/>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PO35</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facilitates the retention of native vegetation by:</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incorporating native vegetation and habitat trees into the overall subdivision design, development layout, on-street amenity and landscaping where practicable;</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w:t>
            </w:r>
            <w:r w:rsidRPr="00AC732E">
              <w:rPr>
                <w:rFonts w:ascii="Arial" w:hAnsi="Arial" w:cs="Arial"/>
                <w:sz w:val="20"/>
                <w:szCs w:val="20"/>
              </w:rPr>
              <w:lastRenderedPageBreak/>
              <w:t>boxes are required for every habitat tree removed.</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providing safe, unimpeded, convenient and ongoing wildlife movement;</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avoiding creating fragmented and isolated patches of native vegetation.</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biodiversity quality and integrity of habitats is not adversely impacted upon but are maintained and protected;</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soil erosion and land degradation does not occur;</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 </w:t>
            </w:r>
          </w:p>
        </w:tc>
        <w:tc>
          <w:tcPr>
            <w:tcW w:w="1610" w:type="pc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Noise</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09" w:type="pc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PO36</w:t>
            </w:r>
          </w:p>
          <w:p w:rsidR="00812EAA" w:rsidRPr="00AC732E" w:rsidRDefault="00812EAA" w:rsidP="00D148A0">
            <w:pPr>
              <w:rPr>
                <w:rFonts w:ascii="Arial" w:hAnsi="Arial" w:cs="Arial"/>
                <w:sz w:val="20"/>
                <w:szCs w:val="20"/>
              </w:rPr>
            </w:pPr>
            <w:r w:rsidRPr="00AC732E">
              <w:rPr>
                <w:rFonts w:ascii="Arial" w:hAnsi="Arial" w:cs="Arial"/>
                <w:sz w:val="20"/>
                <w:szCs w:val="20"/>
              </w:rPr>
              <w:t>Noise attenuation structure (e.g. walls, barriers or fences):</w:t>
            </w:r>
          </w:p>
          <w:p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contribute to safe and usable public spaces, through maintaining high levels of surveillance of parks</w:t>
            </w:r>
            <w:r w:rsidRPr="00AC732E">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streets and roads that serve active transport purposes (e.g. existing or future pedestrian paths or cycle lanes etc);</w:t>
            </w:r>
          </w:p>
          <w:p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10"/>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lastRenderedPageBreak/>
                    <w:t>Note - A noise impact assessment may be required to demonstrate compliance with this PO.  Noise impact assessments are to be prepared in accordance with Planning scheme policy - Noise.</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bl>
          <w:p w:rsidR="00812EAA" w:rsidRPr="00AC732E" w:rsidRDefault="00812EAA" w:rsidP="00D148A0">
            <w:pPr>
              <w:rPr>
                <w:rFonts w:ascii="Arial" w:hAnsi="Arial" w:cs="Arial"/>
                <w:sz w:val="20"/>
                <w:szCs w:val="20"/>
              </w:rPr>
            </w:pPr>
          </w:p>
        </w:tc>
        <w:tc>
          <w:tcPr>
            <w:tcW w:w="1706" w:type="pct"/>
            <w:gridSpan w:val="3"/>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E36</w:t>
            </w:r>
          </w:p>
          <w:p w:rsidR="00812EAA" w:rsidRPr="00AC732E" w:rsidRDefault="00812EAA" w:rsidP="00D148A0">
            <w:pPr>
              <w:rPr>
                <w:rFonts w:ascii="Arial" w:hAnsi="Arial" w:cs="Arial"/>
                <w:sz w:val="20"/>
                <w:szCs w:val="20"/>
              </w:rPr>
            </w:pPr>
            <w:r w:rsidRPr="00AC732E">
              <w:rPr>
                <w:rFonts w:ascii="Arial" w:hAnsi="Arial" w:cs="Arial"/>
                <w:sz w:val="20"/>
                <w:szCs w:val="20"/>
              </w:rPr>
              <w:t>Noise attenuation structures (e.g. walls, barriers or fences):</w:t>
            </w:r>
          </w:p>
          <w:p w:rsidR="00812EAA" w:rsidRPr="00AC732E" w:rsidRDefault="00812EAA" w:rsidP="00D148A0">
            <w:pPr>
              <w:numPr>
                <w:ilvl w:val="0"/>
                <w:numId w:val="18"/>
              </w:numPr>
              <w:rPr>
                <w:rFonts w:ascii="Arial" w:hAnsi="Arial" w:cs="Arial"/>
                <w:sz w:val="20"/>
                <w:szCs w:val="20"/>
              </w:rPr>
            </w:pPr>
            <w:r w:rsidRPr="00AC732E">
              <w:rPr>
                <w:rFonts w:ascii="Arial" w:hAnsi="Arial" w:cs="Arial"/>
                <w:sz w:val="20"/>
                <w:szCs w:val="20"/>
              </w:rPr>
              <w:t>are not visible from an adjoining road or public area unless;</w:t>
            </w:r>
          </w:p>
          <w:p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adjoining a motorway or rail line; or</w:t>
            </w:r>
          </w:p>
          <w:p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lastRenderedPageBreak/>
              <w:t>do not remove existing or prevent future active transport routes or connections to the street network;</w:t>
            </w:r>
          </w:p>
          <w:p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5"/>
            </w:tblGrid>
            <w:tr w:rsidR="00812EAA" w:rsidRPr="00AC732E" w:rsidTr="00812EAA">
              <w:trPr>
                <w:tblCellSpacing w:w="15" w:type="dxa"/>
              </w:trPr>
              <w:tc>
                <w:tcPr>
                  <w:tcW w:w="9565"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r w:rsidR="00812EAA" w:rsidRPr="00AC732E" w:rsidTr="00812EAA">
              <w:trPr>
                <w:tblCellSpacing w:w="15" w:type="dxa"/>
              </w:trPr>
              <w:tc>
                <w:tcPr>
                  <w:tcW w:w="9565"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Overlay map – Active transport for future active transport routes.</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812EAA"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812EAA" w:rsidRPr="00AC732E" w:rsidRDefault="00812EAA" w:rsidP="00AC732E">
            <w:pPr>
              <w:jc w:val="center"/>
              <w:rPr>
                <w:rFonts w:ascii="Arial" w:hAnsi="Arial" w:cs="Arial"/>
                <w:sz w:val="20"/>
                <w:szCs w:val="20"/>
              </w:rPr>
            </w:pPr>
            <w:r w:rsidRPr="00AC732E">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812EAA" w:rsidRPr="00AC732E" w:rsidTr="00812EAA">
              <w:trPr>
                <w:tblCellSpacing w:w="15" w:type="dxa"/>
              </w:trPr>
              <w:tc>
                <w:tcPr>
                  <w:tcW w:w="15049" w:type="dxa"/>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812EAA" w:rsidRPr="00AC732E" w:rsidRDefault="00812EAA" w:rsidP="00D148A0">
            <w:pPr>
              <w:rPr>
                <w:rFonts w:ascii="Arial" w:hAnsi="Arial" w:cs="Arial"/>
                <w:b/>
                <w:bCs/>
                <w:sz w:val="20"/>
                <w:szCs w:val="20"/>
              </w:rPr>
            </w:pPr>
          </w:p>
        </w:tc>
      </w:tr>
      <w:tr w:rsidR="00812EAA" w:rsidRPr="00AC732E" w:rsidTr="00471404">
        <w:trPr>
          <w:trHeight w:val="142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812EAA" w:rsidRPr="00AC732E" w:rsidRDefault="00812EAA" w:rsidP="00D148A0">
            <w:pPr>
              <w:rPr>
                <w:rFonts w:ascii="Arial" w:hAnsi="Arial" w:cs="Arial"/>
                <w:sz w:val="20"/>
                <w:szCs w:val="20"/>
              </w:rPr>
            </w:pPr>
            <w:r w:rsidRPr="00AC732E">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812EAA" w:rsidRPr="00AC732E" w:rsidTr="00812EAA">
              <w:trPr>
                <w:tblCellSpacing w:w="15" w:type="dxa"/>
              </w:trPr>
              <w:tc>
                <w:tcPr>
                  <w:tcW w:w="15049" w:type="dxa"/>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PO37</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minimise the risk from bushfire hazard to each lot and provide the safest possible siting for buildings and structures;</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limit the possible spread paths of bushfire within the reconfiguring;</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 xml:space="preserve">achieve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separation distance between development and hazardous vegetation to minimise the risk to future </w:t>
            </w:r>
            <w:r w:rsidRPr="00AC732E">
              <w:rPr>
                <w:rFonts w:ascii="Arial" w:hAnsi="Arial" w:cs="Arial"/>
                <w:sz w:val="20"/>
                <w:szCs w:val="20"/>
              </w:rPr>
              <w:lastRenderedPageBreak/>
              <w:t>buildings and structures during bushfire events;</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maintain the required level of functionality for emergency services and uses during and immediately after a natural hazard event.</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E37</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all new lots are of an appropriate size, shape and layout to allow for the siting of future buildings being located:</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an appropriate development footprint;</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the lowest hazard locations on a lot;</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 xml:space="preserve">to achieve minimum separation between development or development footprint and any source of bushfire hazard of 20m or the distance required to achieve a Bushfire Attack </w:t>
            </w:r>
            <w:r w:rsidRPr="00AC732E">
              <w:rPr>
                <w:rFonts w:ascii="Arial" w:hAnsi="Arial" w:cs="Arial"/>
                <w:sz w:val="20"/>
                <w:szCs w:val="20"/>
              </w:rPr>
              <w:lastRenderedPageBreak/>
              <w:t>Level BAL (as identified under AS3959-2009), whichever is the greater;</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ridgelines and hilltops;</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on land with a slope of less than 15%;</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north to west facing slopes.</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PO38</w:t>
            </w:r>
          </w:p>
          <w:p w:rsidR="00812EAA" w:rsidRPr="00AC732E" w:rsidRDefault="00812EAA" w:rsidP="00D148A0">
            <w:pPr>
              <w:rPr>
                <w:rFonts w:ascii="Arial" w:hAnsi="Arial" w:cs="Arial"/>
                <w:sz w:val="20"/>
                <w:szCs w:val="20"/>
              </w:rPr>
            </w:pPr>
            <w:r w:rsidRPr="00AC732E">
              <w:rPr>
                <w:rFonts w:ascii="Arial" w:hAnsi="Arial" w:cs="Arial"/>
                <w:sz w:val="20"/>
                <w:szCs w:val="20"/>
              </w:rPr>
              <w:t>Lots provide adequate water supply and infrastructure to support fire-fighting.</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E38</w:t>
            </w:r>
          </w:p>
          <w:p w:rsidR="00812EAA" w:rsidRPr="00AC732E" w:rsidRDefault="00812EAA" w:rsidP="00D148A0">
            <w:pPr>
              <w:rPr>
                <w:rFonts w:ascii="Arial" w:hAnsi="Arial" w:cs="Arial"/>
                <w:sz w:val="20"/>
                <w:szCs w:val="20"/>
              </w:rPr>
            </w:pPr>
            <w:r w:rsidRPr="00AC732E">
              <w:rPr>
                <w:rFonts w:ascii="Arial" w:hAnsi="Arial" w:cs="Arial"/>
                <w:sz w:val="20"/>
                <w:szCs w:val="20"/>
              </w:rPr>
              <w:t>For water supply purposes, reconfiguring a lot ensures that:</w:t>
            </w:r>
          </w:p>
          <w:p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 xml:space="preserve">lots have access to a reticulated water </w:t>
            </w:r>
            <w:proofErr w:type="gramStart"/>
            <w:r w:rsidRPr="00AC732E">
              <w:rPr>
                <w:rFonts w:ascii="Arial" w:hAnsi="Arial" w:cs="Arial"/>
                <w:sz w:val="20"/>
                <w:szCs w:val="20"/>
              </w:rPr>
              <w:t>supply  provided</w:t>
            </w:r>
            <w:proofErr w:type="gramEnd"/>
            <w:r w:rsidRPr="00AC732E">
              <w:rPr>
                <w:rFonts w:ascii="Arial" w:hAnsi="Arial" w:cs="Arial"/>
                <w:sz w:val="20"/>
                <w:szCs w:val="20"/>
              </w:rPr>
              <w:t xml:space="preserve"> by a distributer retailer for the area; or</w:t>
            </w:r>
          </w:p>
          <w:p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where no reticulated water supply is available, on-site fire fighting water storage containing not less than 10000 litres and located within a development footprint.</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PO39</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 achieve:</w:t>
            </w:r>
          </w:p>
          <w:p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t>safe site access by avoiding potential entrapment situations;</w:t>
            </w:r>
          </w:p>
          <w:p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t>accessibility and manoeuvring for fire-fighting during bushfire.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E39</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a new lot is provided with:</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direct road access and egress to public roads;</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an alternative access where the private driveway is longer than 100m to reach a public road;</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driveway access to a public road that has a gradient no greater than 12.5%;</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lastRenderedPageBreak/>
              <w:t>minimum width of 3.5m.</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PO40</w:t>
            </w:r>
          </w:p>
          <w:p w:rsidR="00812EAA" w:rsidRPr="00AC732E" w:rsidRDefault="00812EAA" w:rsidP="00D148A0">
            <w:pPr>
              <w:rPr>
                <w:rFonts w:ascii="Arial" w:hAnsi="Arial" w:cs="Arial"/>
                <w:sz w:val="20"/>
                <w:szCs w:val="20"/>
              </w:rPr>
            </w:pPr>
            <w:r w:rsidRPr="00AC732E">
              <w:rPr>
                <w:rFonts w:ascii="Arial" w:hAnsi="Arial" w:cs="Arial"/>
                <w:sz w:val="20"/>
                <w:szCs w:val="20"/>
              </w:rPr>
              <w:t xml:space="preserve">The road layout and design </w:t>
            </w:r>
            <w:proofErr w:type="gramStart"/>
            <w:r w:rsidRPr="00AC732E">
              <w:rPr>
                <w:rFonts w:ascii="Arial" w:hAnsi="Arial" w:cs="Arial"/>
                <w:sz w:val="20"/>
                <w:szCs w:val="20"/>
              </w:rPr>
              <w:t>supports</w:t>
            </w:r>
            <w:proofErr w:type="gramEnd"/>
            <w:r w:rsidRPr="00AC732E">
              <w:rPr>
                <w:rFonts w:ascii="Arial" w:hAnsi="Arial" w:cs="Arial"/>
                <w:sz w:val="20"/>
                <w:szCs w:val="20"/>
              </w:rPr>
              <w:t>:</w:t>
            </w:r>
          </w:p>
          <w:p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safe and efficient emergency services access to all lots; and manoeuvring within the subdivision;</w:t>
            </w:r>
          </w:p>
          <w:p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availability and maintenance of access routes for the purpose of safe evacuation.</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E40</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provides a road layout which:</w:t>
            </w:r>
          </w:p>
          <w:p w:rsidR="00812EAA" w:rsidRPr="00AC732E" w:rsidRDefault="00812EAA" w:rsidP="00C73185">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includes a perimeter road that separating the new lots from hazardous vegetation on adjacent lots incorporating by:</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a cleared width of 20m;</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road gradients not exceeding 12.5%;</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pavement and surface treatment capable of being used by emergency vehicles;</w:t>
            </w:r>
          </w:p>
          <w:p w:rsidR="00812EAA" w:rsidRPr="00AC732E" w:rsidRDefault="00812EAA" w:rsidP="00C73185">
            <w:pPr>
              <w:numPr>
                <w:ilvl w:val="1"/>
                <w:numId w:val="27"/>
              </w:numPr>
              <w:tabs>
                <w:tab w:val="clear" w:pos="1440"/>
                <w:tab w:val="num" w:pos="779"/>
              </w:tabs>
              <w:ind w:left="779" w:hanging="142"/>
              <w:rPr>
                <w:rFonts w:ascii="Arial" w:hAnsi="Arial" w:cs="Arial"/>
                <w:sz w:val="20"/>
                <w:szCs w:val="20"/>
              </w:rPr>
            </w:pPr>
            <w:r w:rsidRPr="00AC732E">
              <w:rPr>
                <w:rFonts w:ascii="Arial" w:hAnsi="Arial" w:cs="Arial"/>
                <w:sz w:val="20"/>
                <w:szCs w:val="20"/>
              </w:rPr>
              <w:t xml:space="preserve">Turning areas for </w:t>
            </w:r>
            <w:proofErr w:type="spellStart"/>
            <w:r w:rsidRPr="00AC732E">
              <w:rPr>
                <w:rFonts w:ascii="Arial" w:hAnsi="Arial" w:cs="Arial"/>
                <w:sz w:val="20"/>
                <w:szCs w:val="20"/>
              </w:rPr>
              <w:t>fire fighting</w:t>
            </w:r>
            <w:proofErr w:type="spellEnd"/>
            <w:r w:rsidRPr="00AC732E">
              <w:rPr>
                <w:rFonts w:ascii="Arial" w:hAnsi="Arial" w:cs="Arial"/>
                <w:sz w:val="20"/>
                <w:szCs w:val="20"/>
              </w:rPr>
              <w:t xml:space="preserve"> appliances in accordance with Qld Fire and Emergency Services' Fire Hydrant and Vehicle Access Guidelines.</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Or if the above is not practicable, a fire maintenance trail separates the lots from hazardous vegetation on adjacent lots incorporating:</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minimum cleared width of 6m and minimum formed width of 4m;</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gradient not exceeding 12.5%;</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cross slope not exceeding 10%;</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formed width and erosion control devices to the standards specified in Planning scheme policy - Integrated design;</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turning circle or turnaround area at the end of the trail to allow fire fighting vehicles to manoeuvre;</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passing bays and turning/reversing bays every 200m;</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lastRenderedPageBreak/>
              <w:t>an access easement that is granted in favour of the Council and the Queensland Fire and Rescue Service or located on public land.</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cul-de-sacs, except where a perimeter road with a cleared width of 20m isolates the lots from hazardous vegetation on adjacent lots; and</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dead-end roads.</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r w:rsidRPr="00AC732E">
                    <w:rPr>
                      <w:rFonts w:ascii="Arial" w:hAnsi="Arial" w:cs="Arial"/>
                      <w:sz w:val="20"/>
                      <w:szCs w:val="20"/>
                    </w:rPr>
                    <w:br/>
                  </w:r>
                </w:p>
                <w:p w:rsidR="00C73185" w:rsidRPr="00AC732E" w:rsidRDefault="00C73185" w:rsidP="00D148A0">
                  <w:pPr>
                    <w:rPr>
                      <w:rFonts w:ascii="Arial" w:hAnsi="Arial" w:cs="Arial"/>
                      <w:sz w:val="20"/>
                      <w:szCs w:val="20"/>
                    </w:rPr>
                  </w:pPr>
                  <w:r w:rsidRPr="00AC732E">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PO41</w:t>
            </w:r>
          </w:p>
          <w:p w:rsidR="00812EAA" w:rsidRPr="00AC732E" w:rsidRDefault="00812EAA" w:rsidP="00D148A0">
            <w:pPr>
              <w:rPr>
                <w:rFonts w:ascii="Arial" w:hAnsi="Arial" w:cs="Arial"/>
                <w:sz w:val="20"/>
                <w:szCs w:val="20"/>
              </w:rPr>
            </w:pPr>
            <w:r w:rsidRPr="00AC732E">
              <w:rPr>
                <w:rFonts w:ascii="Arial" w:hAnsi="Arial" w:cs="Arial"/>
                <w:sz w:val="20"/>
                <w:szCs w:val="20"/>
              </w:rPr>
              <w:t>No new boundaries are to be located within 2m of a High Value Area.</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PO42</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minimise the extent of encroachment into the MLES waterway buffer or a MLES wetland buffer;</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ensure quality and integrity of biodiversity and ecological values is not adversely impacted upon but are maintained and protected;</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incorporate native vegetation and habitat trees into the overall subdivision design, development layout, on-street amenity and landscaping where practicable;</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lastRenderedPageBreak/>
              <w:t>provide safe, unimpeded, convenient and ongoing wildlife movement;</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avoid creating fragmented and isolated patches of native vegetation;</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soil erosion and land degradation does not occur;</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w:t>
            </w:r>
          </w:p>
          <w:p w:rsidR="00812EAA" w:rsidRPr="00AC732E" w:rsidRDefault="00812EAA" w:rsidP="00D148A0">
            <w:pPr>
              <w:rPr>
                <w:rFonts w:ascii="Arial" w:hAnsi="Arial" w:cs="Arial"/>
                <w:sz w:val="20"/>
                <w:szCs w:val="20"/>
              </w:rPr>
            </w:pPr>
            <w:r w:rsidRPr="00AC732E">
              <w:rPr>
                <w:rFonts w:ascii="Arial" w:hAnsi="Arial" w:cs="Arial"/>
                <w:sz w:val="20"/>
                <w:szCs w:val="20"/>
              </w:rPr>
              <w:t>AND</w:t>
            </w:r>
          </w:p>
          <w:p w:rsidR="00812EAA" w:rsidRPr="00AC732E" w:rsidRDefault="00812EAA" w:rsidP="00D148A0">
            <w:pPr>
              <w:rPr>
                <w:rFonts w:ascii="Arial" w:hAnsi="Arial" w:cs="Arial"/>
                <w:sz w:val="20"/>
                <w:szCs w:val="20"/>
              </w:rPr>
            </w:pPr>
            <w:r w:rsidRPr="00AC732E">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E42</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no additional lots are created within a Value Offset Area.</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rHeight w:val="270"/>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PO43</w:t>
            </w:r>
          </w:p>
          <w:p w:rsidR="00812EAA" w:rsidRPr="00AC732E" w:rsidRDefault="00812EAA" w:rsidP="00D148A0">
            <w:pPr>
              <w:rPr>
                <w:rFonts w:ascii="Arial" w:hAnsi="Arial" w:cs="Arial"/>
                <w:sz w:val="20"/>
                <w:szCs w:val="20"/>
              </w:rPr>
            </w:pPr>
            <w:r w:rsidRPr="00AC732E">
              <w:rPr>
                <w:rFonts w:ascii="Arial" w:hAnsi="Arial" w:cs="Arial"/>
                <w:sz w:val="20"/>
                <w:szCs w:val="20"/>
              </w:rPr>
              <w:t>Lots do not: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reduce public access to a heritage place, building, item or object;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create the potential to adversely affect views to and from the heritage place, building, item or object;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lastRenderedPageBreak/>
              <w:t>obscure or destroy any pattern of historic subdivision, historical context, landscape setting or the scale and consistency of the urban fabric relating to the local heritage place.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PO44</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retains significant trees and incorporates them into the subdivision design, development layout and provision of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C73185" w:rsidRPr="00AC732E" w:rsidTr="00812EAA">
              <w:trPr>
                <w:tblCellSpacing w:w="15" w:type="dxa"/>
              </w:trPr>
              <w:tc>
                <w:tcPr>
                  <w:tcW w:w="15049" w:type="dxa"/>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PO45</w:t>
            </w:r>
          </w:p>
          <w:p w:rsidR="00812EAA" w:rsidRPr="00AC732E" w:rsidRDefault="00812EAA" w:rsidP="00D148A0">
            <w:pPr>
              <w:rPr>
                <w:rFonts w:ascii="Arial" w:hAnsi="Arial" w:cs="Arial"/>
                <w:sz w:val="20"/>
                <w:szCs w:val="20"/>
              </w:rPr>
            </w:pPr>
            <w:r w:rsidRPr="00AC732E">
              <w:rPr>
                <w:rFonts w:ascii="Arial" w:hAnsi="Arial" w:cs="Arial"/>
                <w:sz w:val="20"/>
                <w:szCs w:val="20"/>
              </w:rPr>
              <w:t>Lots ensure that:</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 xml:space="preserve">future building location </w:t>
            </w:r>
            <w:proofErr w:type="gramStart"/>
            <w:r w:rsidRPr="00AC732E">
              <w:rPr>
                <w:rFonts w:ascii="Arial" w:hAnsi="Arial" w:cs="Arial"/>
                <w:sz w:val="20"/>
                <w:szCs w:val="20"/>
              </w:rPr>
              <w:t>is located in</w:t>
            </w:r>
            <w:proofErr w:type="gramEnd"/>
            <w:r w:rsidRPr="00AC732E">
              <w:rPr>
                <w:rFonts w:ascii="Arial" w:hAnsi="Arial" w:cs="Arial"/>
                <w:sz w:val="20"/>
                <w:szCs w:val="20"/>
              </w:rPr>
              <w:t xml:space="preserve"> part of a site not subject to landslide risk;</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 need for excessive on-site works, change to finished landform, or excessive vegetation clearance to provide for future development is avoided;</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there is minimal disturbance to natural drainage patterns;</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 xml:space="preserve">earthworks </w:t>
            </w:r>
            <w:proofErr w:type="gramStart"/>
            <w:r w:rsidRPr="00AC732E">
              <w:rPr>
                <w:rFonts w:ascii="Arial" w:hAnsi="Arial" w:cs="Arial"/>
                <w:sz w:val="20"/>
                <w:szCs w:val="20"/>
              </w:rPr>
              <w:t>does</w:t>
            </w:r>
            <w:proofErr w:type="gramEnd"/>
            <w:r w:rsidRPr="00AC732E">
              <w:rPr>
                <w:rFonts w:ascii="Arial" w:hAnsi="Arial" w:cs="Arial"/>
                <w:sz w:val="20"/>
                <w:szCs w:val="20"/>
              </w:rPr>
              <w:t xml:space="preserve"> not:</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cut and filling having a height greater than 1.5m;</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lastRenderedPageBreak/>
              <w:t>involve any retaining wall having a height greater than 1.5m;</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earthworks exceeding 50m</w:t>
            </w:r>
            <w:r w:rsidRPr="00AC732E">
              <w:rPr>
                <w:rFonts w:ascii="Arial" w:hAnsi="Arial" w:cs="Arial"/>
                <w:sz w:val="20"/>
                <w:szCs w:val="20"/>
                <w:vertAlign w:val="superscript"/>
              </w:rPr>
              <w:t>3</w:t>
            </w:r>
            <w:r w:rsidRPr="00AC732E">
              <w:rPr>
                <w:rFonts w:ascii="Arial" w:hAnsi="Arial" w:cs="Arial"/>
                <w:sz w:val="20"/>
                <w:szCs w:val="20"/>
              </w:rPr>
              <w:t>;</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redirect or alter the existing flows of surface or groundwater.</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E45.1</w:t>
            </w:r>
          </w:p>
          <w:p w:rsidR="00812EAA" w:rsidRPr="00AC732E" w:rsidRDefault="00812EAA" w:rsidP="00D148A0">
            <w:pPr>
              <w:rPr>
                <w:rFonts w:ascii="Arial" w:hAnsi="Arial" w:cs="Arial"/>
                <w:sz w:val="20"/>
                <w:szCs w:val="20"/>
              </w:rPr>
            </w:pPr>
            <w:r w:rsidRPr="00AC732E">
              <w:rPr>
                <w:rFonts w:ascii="Arial" w:hAnsi="Arial" w:cs="Arial"/>
                <w:sz w:val="20"/>
                <w:szCs w:val="20"/>
              </w:rPr>
              <w:t>Lots provides development footprint free from risk of landslide.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E45.2</w:t>
            </w:r>
          </w:p>
          <w:p w:rsidR="00812EAA" w:rsidRPr="00AC732E" w:rsidRDefault="00812EAA" w:rsidP="00D148A0">
            <w:pPr>
              <w:rPr>
                <w:rFonts w:ascii="Arial" w:hAnsi="Arial" w:cs="Arial"/>
                <w:sz w:val="20"/>
                <w:szCs w:val="20"/>
              </w:rPr>
            </w:pPr>
            <w:r w:rsidRPr="00AC732E">
              <w:rPr>
                <w:rFonts w:ascii="Arial" w:hAnsi="Arial" w:cs="Arial"/>
                <w:sz w:val="20"/>
                <w:szCs w:val="20"/>
              </w:rPr>
              <w:t>Development footprints and driveways for a lot does not exceed 15% slope.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PO46</w:t>
            </w:r>
          </w:p>
          <w:p w:rsidR="00812EAA" w:rsidRPr="00AC732E" w:rsidRDefault="00812EAA" w:rsidP="00D148A0">
            <w:pPr>
              <w:rPr>
                <w:rFonts w:ascii="Arial" w:hAnsi="Arial" w:cs="Arial"/>
                <w:sz w:val="20"/>
                <w:szCs w:val="20"/>
              </w:rPr>
            </w:pPr>
            <w:r w:rsidRPr="00AC732E">
              <w:rPr>
                <w:rFonts w:ascii="Arial" w:hAnsi="Arial" w:cs="Arial"/>
                <w:sz w:val="20"/>
                <w:szCs w:val="20"/>
              </w:rPr>
              <w:t>Development:</w:t>
            </w:r>
          </w:p>
          <w:p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t>minimises the risk to persons from overland flow;</w:t>
            </w:r>
          </w:p>
          <w:p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t>does not increase the potential for damage from overland flow either on the premises or on a surrounding property, public land, road or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PO47</w:t>
            </w:r>
          </w:p>
          <w:p w:rsidR="00812EAA" w:rsidRPr="00AC732E" w:rsidRDefault="00812EAA" w:rsidP="00D148A0">
            <w:pPr>
              <w:rPr>
                <w:rFonts w:ascii="Arial" w:hAnsi="Arial" w:cs="Arial"/>
                <w:sz w:val="20"/>
                <w:szCs w:val="20"/>
              </w:rPr>
            </w:pPr>
            <w:r w:rsidRPr="00AC732E">
              <w:rPr>
                <w:rFonts w:ascii="Arial" w:hAnsi="Arial" w:cs="Arial"/>
                <w:sz w:val="20"/>
                <w:szCs w:val="20"/>
              </w:rPr>
              <w:t>Development:</w:t>
            </w:r>
          </w:p>
          <w:p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maintains the conveyance of overland flow predominantly unimpeded through the premises for any event up to and including the 1% AEP for the fully developed upstream catchment;</w:t>
            </w:r>
          </w:p>
          <w:p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 xml:space="preserve">does not concentrate, intensify or divert overland flow onto an </w:t>
            </w:r>
            <w:r w:rsidRPr="00AC732E">
              <w:rPr>
                <w:rFonts w:ascii="Arial" w:hAnsi="Arial" w:cs="Arial"/>
                <w:sz w:val="20"/>
                <w:szCs w:val="20"/>
              </w:rPr>
              <w:lastRenderedPageBreak/>
              <w:t>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E47</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any buildings are not located in an Overland flow path area.</w:t>
            </w:r>
          </w:p>
          <w:tbl>
            <w:tblPr>
              <w:tblW w:w="491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812EAA" w:rsidRPr="00AC732E" w:rsidTr="007B24E1">
              <w:trPr>
                <w:trHeight w:val="1863"/>
                <w:tblCellSpacing w:w="15" w:type="dxa"/>
              </w:trPr>
              <w:tc>
                <w:tcPr>
                  <w:tcW w:w="4851" w:type="dxa"/>
                  <w:vAlign w:val="center"/>
                  <w:hideMark/>
                </w:tcPr>
                <w:p w:rsidR="00812EAA" w:rsidRPr="00AC732E" w:rsidRDefault="00812EAA" w:rsidP="00D148A0">
                  <w:pPr>
                    <w:rPr>
                      <w:rFonts w:ascii="Arial" w:hAnsi="Arial" w:cs="Arial"/>
                      <w:sz w:val="20"/>
                      <w:szCs w:val="20"/>
                    </w:rPr>
                  </w:pPr>
                  <w:r w:rsidRPr="007B24E1">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PO48</w:t>
            </w:r>
          </w:p>
          <w:p w:rsidR="00812EAA" w:rsidRPr="00AC732E" w:rsidRDefault="00812EAA" w:rsidP="00D148A0">
            <w:pPr>
              <w:rPr>
                <w:rFonts w:ascii="Arial" w:hAnsi="Arial" w:cs="Arial"/>
                <w:sz w:val="20"/>
                <w:szCs w:val="20"/>
              </w:rPr>
            </w:pPr>
            <w:r w:rsidRPr="00AC732E">
              <w:rPr>
                <w:rFonts w:ascii="Arial" w:hAnsi="Arial" w:cs="Arial"/>
                <w:sz w:val="20"/>
                <w:szCs w:val="20"/>
              </w:rPr>
              <w:t>Development does not:</w:t>
            </w:r>
          </w:p>
          <w:p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directly, indirectly or cumulatively cause any increase in overland flow velocity or level;</w:t>
            </w:r>
          </w:p>
          <w:p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Open concrete drains greater than 1m in width are not an acceptable outcome, nor are any other design options that may increase scouring.</w:t>
                  </w:r>
                </w:p>
              </w:tc>
            </w:tr>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7B24E1">
                    <w:rPr>
                      <w:rFonts w:ascii="Arial" w:hAnsi="Arial" w:cs="Arial"/>
                      <w:sz w:val="18"/>
                      <w:szCs w:val="20"/>
                    </w:rPr>
                    <w:t>upstream, downstream or surrounding premises</w:t>
                  </w:r>
                  <w:proofErr w:type="gramEnd"/>
                  <w:r w:rsidRPr="007B24E1">
                    <w:rPr>
                      <w:rFonts w:ascii="Arial" w:hAnsi="Arial" w:cs="Arial"/>
                      <w:sz w:val="18"/>
                      <w:szCs w:val="20"/>
                    </w:rPr>
                    <w:t>.</w:t>
                  </w:r>
                </w:p>
              </w:tc>
            </w:tr>
          </w:tbl>
          <w:p w:rsidR="00812EAA" w:rsidRPr="007B24E1" w:rsidRDefault="00812EAA"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PO49</w:t>
            </w:r>
          </w:p>
          <w:p w:rsidR="00812EAA" w:rsidRPr="00AC732E" w:rsidRDefault="00812EAA" w:rsidP="00D148A0">
            <w:pPr>
              <w:rPr>
                <w:rFonts w:ascii="Arial" w:hAnsi="Arial" w:cs="Arial"/>
                <w:sz w:val="20"/>
                <w:szCs w:val="20"/>
              </w:rPr>
            </w:pPr>
            <w:r w:rsidRPr="00AC732E">
              <w:rPr>
                <w:rFonts w:ascii="Arial" w:hAnsi="Arial" w:cs="Arial"/>
                <w:sz w:val="20"/>
                <w:szCs w:val="20"/>
              </w:rPr>
              <w:lastRenderedPageBreak/>
              <w:t>Development ensures that overland flow is not conveyed from a road or public open space onto a private lot, unless the development is in a Rural zone.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E49</w:t>
            </w:r>
          </w:p>
          <w:p w:rsidR="00812EAA" w:rsidRPr="00AC732E" w:rsidRDefault="00812EAA" w:rsidP="00D148A0">
            <w:pPr>
              <w:rPr>
                <w:rFonts w:ascii="Arial" w:hAnsi="Arial" w:cs="Arial"/>
                <w:sz w:val="20"/>
                <w:szCs w:val="20"/>
              </w:rPr>
            </w:pPr>
            <w:r w:rsidRPr="00AC732E">
              <w:rPr>
                <w:rFonts w:ascii="Arial" w:hAnsi="Arial" w:cs="Arial"/>
                <w:sz w:val="20"/>
                <w:szCs w:val="20"/>
              </w:rPr>
              <w:lastRenderedPageBreak/>
              <w:t>Development ensures that overland flow paths and drainage infrastructure is provided to convey overland flow from a road or public open space area away from a private lot, unless the development is in the Rural zone.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PO50</w:t>
            </w:r>
          </w:p>
          <w:p w:rsidR="00812EAA" w:rsidRPr="00AC732E" w:rsidRDefault="00812EAA" w:rsidP="00D148A0">
            <w:pPr>
              <w:rPr>
                <w:rFonts w:ascii="Arial" w:hAnsi="Arial" w:cs="Arial"/>
                <w:sz w:val="20"/>
                <w:szCs w:val="20"/>
              </w:rPr>
            </w:pPr>
            <w:r w:rsidRPr="00AC732E">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AC732E">
              <w:rPr>
                <w:rFonts w:ascii="Arial" w:hAnsi="Arial" w:cs="Arial"/>
                <w:sz w:val="20"/>
                <w:szCs w:val="20"/>
              </w:rPr>
              <w:t>are able to</w:t>
            </w:r>
            <w:proofErr w:type="gramEnd"/>
            <w:r w:rsidRPr="00AC732E">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7B24E1">
                    <w:rPr>
                      <w:rFonts w:ascii="Arial" w:hAnsi="Arial" w:cs="Arial"/>
                      <w:sz w:val="18"/>
                      <w:szCs w:val="20"/>
                    </w:rPr>
                    <w:t>upstream, downstream or surrounding premises</w:t>
                  </w:r>
                  <w:proofErr w:type="gramEnd"/>
                  <w:r w:rsidRPr="007B24E1">
                    <w:rPr>
                      <w:rFonts w:ascii="Arial" w:hAnsi="Arial" w:cs="Arial"/>
                      <w:sz w:val="18"/>
                      <w:szCs w:val="20"/>
                    </w:rPr>
                    <w:t>.</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E50.1</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roof and allotment drainage infrastructure is provided in accordance with the following relevant level as identified in QUDM:</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Urban area – Level III;</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Rural area – N/A;</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Industrial area – Level V;</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Commercial area – Level V.</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E50.2</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PO51</w:t>
            </w:r>
          </w:p>
          <w:p w:rsidR="00812EAA" w:rsidRPr="00AC732E" w:rsidRDefault="00812EAA" w:rsidP="00D148A0">
            <w:pPr>
              <w:rPr>
                <w:rFonts w:ascii="Arial" w:hAnsi="Arial" w:cs="Arial"/>
                <w:sz w:val="20"/>
                <w:szCs w:val="20"/>
              </w:rPr>
            </w:pPr>
            <w:r w:rsidRPr="00AC732E">
              <w:rPr>
                <w:rFonts w:ascii="Arial" w:hAnsi="Arial" w:cs="Arial"/>
                <w:sz w:val="20"/>
                <w:szCs w:val="20"/>
              </w:rPr>
              <w:t>Development protects the conveyance of overland flow such that easements for drainage purposes are provided over:</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 stormwater pipe if the nominal pipe diameter exceeds 300mm;</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an overland flow path where it crosses more than one property; and</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Stormwater drainage easement dimensions are provided in accordance with Section 3.8.5 of QUDM.</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Additional criteria for development for a Park</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PO52</w:t>
            </w:r>
          </w:p>
          <w:p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that the design and layout responds to the nature of the overland flow affecting the premises such that:</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 xml:space="preserve">public benefit and enjoyment </w:t>
            </w:r>
            <w:proofErr w:type="gramStart"/>
            <w:r w:rsidRPr="00AC732E">
              <w:rPr>
                <w:rFonts w:ascii="Arial" w:hAnsi="Arial" w:cs="Arial"/>
                <w:sz w:val="20"/>
                <w:szCs w:val="20"/>
              </w:rPr>
              <w:t>is</w:t>
            </w:r>
            <w:proofErr w:type="gramEnd"/>
            <w:r w:rsidRPr="00AC732E">
              <w:rPr>
                <w:rFonts w:ascii="Arial" w:hAnsi="Arial" w:cs="Arial"/>
                <w:sz w:val="20"/>
                <w:szCs w:val="20"/>
              </w:rPr>
              <w:t xml:space="preserve"> maximised;</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impacts on the asset life and integrity of park structures is minimised;</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maintenance and replacement costs are minimised.</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E52</w:t>
            </w:r>
          </w:p>
          <w:p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works are provided in accordance with the requirements set out in Appendix B of the Planning scheme policy - Integrated Design.</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rHeight w:val="34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 W1, W2 and W3 waterway and drainage lines, and wetlands are mapped on Schedule 2, Section 2.5 Overlay Maps – Riparian and wetland setbacks.</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PO53</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the extent of encroachment into the riparian and wetland setback;</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lastRenderedPageBreak/>
              <w:t>ensure the protection of wildlife corridors and connectivity;</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reduce the impact on fauna habitats;</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edge effects;</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ensure an appropriate extent of public access to waterways and wetlands.</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E53</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w:t>
            </w:r>
          </w:p>
          <w:p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t>no new lots are created within a riparian and wetland setback;</w:t>
            </w:r>
          </w:p>
          <w:p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lastRenderedPageBreak/>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4"/>
            </w:tblGrid>
            <w:tr w:rsidR="00812EAA" w:rsidRPr="007B24E1" w:rsidTr="00812EAA">
              <w:trPr>
                <w:tblCellSpacing w:w="15" w:type="dxa"/>
              </w:trPr>
              <w:tc>
                <w:tcPr>
                  <w:tcW w:w="9565" w:type="dxa"/>
                  <w:hideMark/>
                </w:tcPr>
                <w:p w:rsidR="00812EAA" w:rsidRPr="007B24E1" w:rsidRDefault="00812EAA" w:rsidP="00D148A0">
                  <w:pPr>
                    <w:rPr>
                      <w:rFonts w:ascii="Arial" w:hAnsi="Arial" w:cs="Arial"/>
                      <w:sz w:val="18"/>
                      <w:szCs w:val="20"/>
                    </w:rPr>
                  </w:pPr>
                  <w:r w:rsidRPr="007B24E1">
                    <w:rPr>
                      <w:rFonts w:ascii="Arial" w:hAnsi="Arial" w:cs="Arial"/>
                      <w:sz w:val="18"/>
                      <w:szCs w:val="20"/>
                    </w:rPr>
                    <w:t>Note - Riparian and wetlands are mapped on Schedule 2, Section 2.5 Overlay Maps – Riparian and wetland setbacks.</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PO54</w:t>
            </w:r>
          </w:p>
          <w:p w:rsidR="00812EAA" w:rsidRPr="00AC732E" w:rsidRDefault="00812EAA" w:rsidP="00D148A0">
            <w:pPr>
              <w:rPr>
                <w:rFonts w:ascii="Arial" w:hAnsi="Arial" w:cs="Arial"/>
                <w:sz w:val="20"/>
                <w:szCs w:val="20"/>
              </w:rPr>
            </w:pPr>
            <w:r w:rsidRPr="00AC732E">
              <w:rPr>
                <w:rFonts w:ascii="Arial" w:hAnsi="Arial" w:cs="Arial"/>
                <w:sz w:val="20"/>
                <w:szCs w:val="20"/>
              </w:rPr>
              <w:t>Lots are sited, designed and oriented to:</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maximise the retention of existing trees and land cover including the preservation of ridgeline vegetation;</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maximise the retention of highly natural and vegetated areas and natural landforms by minimising the use of cut and fill;</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buildings and structures are not located on a hill top or ridgeline;</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bl>
    <w:p w:rsidR="00CF68F9" w:rsidRPr="00AC732E" w:rsidRDefault="00CF68F9">
      <w:pPr>
        <w:rPr>
          <w:rFonts w:ascii="Arial" w:hAnsi="Arial" w:cs="Arial"/>
          <w:sz w:val="20"/>
          <w:szCs w:val="20"/>
        </w:rPr>
      </w:pPr>
      <w:bookmarkStart w:id="0" w:name="_GoBack"/>
      <w:bookmarkEnd w:id="0"/>
    </w:p>
    <w:sectPr w:rsidR="00CF68F9" w:rsidRPr="00AC732E" w:rsidSect="00D148A0">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DB" w:rsidRDefault="00FA53DB" w:rsidP="00AC732E">
      <w:pPr>
        <w:spacing w:after="0" w:line="240" w:lineRule="auto"/>
      </w:pPr>
      <w:r>
        <w:separator/>
      </w:r>
    </w:p>
  </w:endnote>
  <w:endnote w:type="continuationSeparator" w:id="0">
    <w:p w:rsidR="00FA53DB" w:rsidRDefault="00FA53DB" w:rsidP="00AC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32E" w:rsidRPr="00AC732E" w:rsidRDefault="00AC732E" w:rsidP="00AC732E">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w:t>
    </w:r>
    <w:r w:rsidR="00D32D78">
      <w:rPr>
        <w:rFonts w:ascii="Arial" w:hAnsi="Arial" w:cs="Arial"/>
        <w:i/>
        <w:sz w:val="20"/>
        <w:szCs w:val="20"/>
      </w:rPr>
      <w:t>6</w:t>
    </w:r>
    <w:r>
      <w:rPr>
        <w:rFonts w:ascii="Arial" w:hAnsi="Arial" w:cs="Arial"/>
        <w:i/>
        <w:sz w:val="20"/>
        <w:szCs w:val="20"/>
      </w:rPr>
      <w:t xml:space="preserve"> </w:t>
    </w:r>
    <w:r w:rsidRPr="00744A3C">
      <w:rPr>
        <w:rFonts w:ascii="Arial" w:hAnsi="Arial" w:cs="Arial"/>
        <w:i/>
        <w:sz w:val="20"/>
        <w:szCs w:val="20"/>
      </w:rPr>
      <w:t xml:space="preserve">- </w:t>
    </w:r>
    <w:r>
      <w:rPr>
        <w:rFonts w:ascii="Arial" w:hAnsi="Arial" w:cs="Arial"/>
        <w:i/>
        <w:sz w:val="20"/>
        <w:szCs w:val="20"/>
      </w:rPr>
      <w:t>Other development codes - Reconfiguring a lot - Township zone - Township convenience precinct</w:t>
    </w:r>
    <w:r w:rsidRPr="00744A3C">
      <w:rPr>
        <w:rFonts w:ascii="Arial" w:hAnsi="Arial" w:cs="Arial"/>
        <w:i/>
        <w:sz w:val="20"/>
        <w:szCs w:val="20"/>
      </w:rPr>
      <w:t xml:space="preserve">- Assessable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DB" w:rsidRDefault="00FA53DB" w:rsidP="00AC732E">
      <w:pPr>
        <w:spacing w:after="0" w:line="240" w:lineRule="auto"/>
      </w:pPr>
      <w:r>
        <w:separator/>
      </w:r>
    </w:p>
  </w:footnote>
  <w:footnote w:type="continuationSeparator" w:id="0">
    <w:p w:rsidR="00FA53DB" w:rsidRDefault="00FA53DB" w:rsidP="00AC7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CD3"/>
    <w:multiLevelType w:val="multilevel"/>
    <w:tmpl w:val="0AC472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F76343"/>
    <w:multiLevelType w:val="multilevel"/>
    <w:tmpl w:val="8CBC7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B1342"/>
    <w:multiLevelType w:val="multilevel"/>
    <w:tmpl w:val="E8209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BD4E06"/>
    <w:multiLevelType w:val="multilevel"/>
    <w:tmpl w:val="0C880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F26826"/>
    <w:multiLevelType w:val="multilevel"/>
    <w:tmpl w:val="AB50B42C"/>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0DEF3ADD"/>
    <w:multiLevelType w:val="multilevel"/>
    <w:tmpl w:val="F7A8A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46F05"/>
    <w:multiLevelType w:val="multilevel"/>
    <w:tmpl w:val="E9EC9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195B68"/>
    <w:multiLevelType w:val="multilevel"/>
    <w:tmpl w:val="FCFCF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4D08B4"/>
    <w:multiLevelType w:val="multilevel"/>
    <w:tmpl w:val="43245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517DEC"/>
    <w:multiLevelType w:val="multilevel"/>
    <w:tmpl w:val="4016E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C17E52"/>
    <w:multiLevelType w:val="multilevel"/>
    <w:tmpl w:val="AA9EF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0817F5"/>
    <w:multiLevelType w:val="multilevel"/>
    <w:tmpl w:val="979E2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A002088"/>
    <w:multiLevelType w:val="multilevel"/>
    <w:tmpl w:val="5310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0C413C"/>
    <w:multiLevelType w:val="multilevel"/>
    <w:tmpl w:val="D1AA0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0D6BF8"/>
    <w:multiLevelType w:val="multilevel"/>
    <w:tmpl w:val="CA965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7271A8"/>
    <w:multiLevelType w:val="multilevel"/>
    <w:tmpl w:val="20BAF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BD69E1"/>
    <w:multiLevelType w:val="multilevel"/>
    <w:tmpl w:val="3064D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B05754"/>
    <w:multiLevelType w:val="multilevel"/>
    <w:tmpl w:val="FBA23E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5D3E81"/>
    <w:multiLevelType w:val="multilevel"/>
    <w:tmpl w:val="49861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D105EE"/>
    <w:multiLevelType w:val="multilevel"/>
    <w:tmpl w:val="42A40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A336E4"/>
    <w:multiLevelType w:val="multilevel"/>
    <w:tmpl w:val="022A7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2400AF"/>
    <w:multiLevelType w:val="multilevel"/>
    <w:tmpl w:val="C1C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449B2"/>
    <w:multiLevelType w:val="multilevel"/>
    <w:tmpl w:val="0F1E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551556"/>
    <w:multiLevelType w:val="multilevel"/>
    <w:tmpl w:val="957C3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941D81"/>
    <w:multiLevelType w:val="multilevel"/>
    <w:tmpl w:val="1AA48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9173FC"/>
    <w:multiLevelType w:val="multilevel"/>
    <w:tmpl w:val="ACAA9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D34B3C"/>
    <w:multiLevelType w:val="multilevel"/>
    <w:tmpl w:val="091A8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7B1C3A"/>
    <w:multiLevelType w:val="multilevel"/>
    <w:tmpl w:val="34228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986222"/>
    <w:multiLevelType w:val="multilevel"/>
    <w:tmpl w:val="1500F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2248AD"/>
    <w:multiLevelType w:val="multilevel"/>
    <w:tmpl w:val="BB72A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C94454"/>
    <w:multiLevelType w:val="multilevel"/>
    <w:tmpl w:val="19449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7E4B72"/>
    <w:multiLevelType w:val="multilevel"/>
    <w:tmpl w:val="14C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B32CD"/>
    <w:multiLevelType w:val="multilevel"/>
    <w:tmpl w:val="2FE0F9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9C27B3"/>
    <w:multiLevelType w:val="multilevel"/>
    <w:tmpl w:val="62EC6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8F7866"/>
    <w:multiLevelType w:val="multilevel"/>
    <w:tmpl w:val="4EDCA2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B6A7F13"/>
    <w:multiLevelType w:val="multilevel"/>
    <w:tmpl w:val="9DAA1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7EE2532"/>
    <w:multiLevelType w:val="multilevel"/>
    <w:tmpl w:val="3124A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3C56D8"/>
    <w:multiLevelType w:val="multilevel"/>
    <w:tmpl w:val="B13C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A00F69"/>
    <w:multiLevelType w:val="multilevel"/>
    <w:tmpl w:val="E022F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4"/>
  </w:num>
  <w:num w:numId="3">
    <w:abstractNumId w:val="32"/>
  </w:num>
  <w:num w:numId="4">
    <w:abstractNumId w:val="33"/>
  </w:num>
  <w:num w:numId="5">
    <w:abstractNumId w:val="22"/>
  </w:num>
  <w:num w:numId="6">
    <w:abstractNumId w:val="2"/>
  </w:num>
  <w:num w:numId="7">
    <w:abstractNumId w:val="31"/>
  </w:num>
  <w:num w:numId="8">
    <w:abstractNumId w:val="37"/>
  </w:num>
  <w:num w:numId="9">
    <w:abstractNumId w:val="21"/>
  </w:num>
  <w:num w:numId="10">
    <w:abstractNumId w:val="36"/>
  </w:num>
  <w:num w:numId="11">
    <w:abstractNumId w:val="16"/>
  </w:num>
  <w:num w:numId="12">
    <w:abstractNumId w:val="14"/>
  </w:num>
  <w:num w:numId="13">
    <w:abstractNumId w:val="8"/>
  </w:num>
  <w:num w:numId="14">
    <w:abstractNumId w:val="11"/>
  </w:num>
  <w:num w:numId="15">
    <w:abstractNumId w:val="39"/>
  </w:num>
  <w:num w:numId="16">
    <w:abstractNumId w:val="30"/>
  </w:num>
  <w:num w:numId="17">
    <w:abstractNumId w:val="9"/>
  </w:num>
  <w:num w:numId="18">
    <w:abstractNumId w:val="7"/>
  </w:num>
  <w:num w:numId="19">
    <w:abstractNumId w:val="4"/>
  </w:num>
  <w:num w:numId="20">
    <w:abstractNumId w:val="18"/>
  </w:num>
  <w:num w:numId="21">
    <w:abstractNumId w:val="3"/>
  </w:num>
  <w:num w:numId="22">
    <w:abstractNumId w:val="13"/>
  </w:num>
  <w:num w:numId="23">
    <w:abstractNumId w:val="27"/>
  </w:num>
  <w:num w:numId="24">
    <w:abstractNumId w:val="23"/>
  </w:num>
  <w:num w:numId="25">
    <w:abstractNumId w:val="20"/>
  </w:num>
  <w:num w:numId="26">
    <w:abstractNumId w:val="19"/>
  </w:num>
  <w:num w:numId="27">
    <w:abstractNumId w:val="0"/>
  </w:num>
  <w:num w:numId="28">
    <w:abstractNumId w:val="0"/>
    <w:lvlOverride w:ilvl="1">
      <w:startOverride w:val="1"/>
    </w:lvlOverride>
  </w:num>
  <w:num w:numId="29">
    <w:abstractNumId w:val="15"/>
  </w:num>
  <w:num w:numId="30">
    <w:abstractNumId w:val="26"/>
  </w:num>
  <w:num w:numId="31">
    <w:abstractNumId w:val="35"/>
  </w:num>
  <w:num w:numId="32">
    <w:abstractNumId w:val="38"/>
  </w:num>
  <w:num w:numId="33">
    <w:abstractNumId w:val="17"/>
  </w:num>
  <w:num w:numId="34">
    <w:abstractNumId w:val="29"/>
  </w:num>
  <w:num w:numId="35">
    <w:abstractNumId w:val="25"/>
  </w:num>
  <w:num w:numId="36">
    <w:abstractNumId w:val="28"/>
  </w:num>
  <w:num w:numId="37">
    <w:abstractNumId w:val="1"/>
  </w:num>
  <w:num w:numId="38">
    <w:abstractNumId w:val="24"/>
  </w:num>
  <w:num w:numId="39">
    <w:abstractNumId w:val="5"/>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A0"/>
    <w:rsid w:val="00471404"/>
    <w:rsid w:val="007B24E1"/>
    <w:rsid w:val="00812EAA"/>
    <w:rsid w:val="00970920"/>
    <w:rsid w:val="00AC732E"/>
    <w:rsid w:val="00C73185"/>
    <w:rsid w:val="00CF5F2B"/>
    <w:rsid w:val="00CF68F9"/>
    <w:rsid w:val="00D148A0"/>
    <w:rsid w:val="00D32D78"/>
    <w:rsid w:val="00FA53DB"/>
    <w:rsid w:val="00FB5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4FA4"/>
  <w15:chartTrackingRefBased/>
  <w15:docId w15:val="{08F0B556-C4FB-42A6-8A88-1CB5A72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8A0"/>
    <w:rPr>
      <w:color w:val="0563C1" w:themeColor="hyperlink"/>
      <w:u w:val="single"/>
    </w:rPr>
  </w:style>
  <w:style w:type="character" w:styleId="UnresolvedMention">
    <w:name w:val="Unresolved Mention"/>
    <w:basedOn w:val="DefaultParagraphFont"/>
    <w:uiPriority w:val="99"/>
    <w:semiHidden/>
    <w:unhideWhenUsed/>
    <w:rsid w:val="00D148A0"/>
    <w:rPr>
      <w:color w:val="605E5C"/>
      <w:shd w:val="clear" w:color="auto" w:fill="E1DFDD"/>
    </w:rPr>
  </w:style>
  <w:style w:type="paragraph" w:styleId="ListParagraph">
    <w:name w:val="List Paragraph"/>
    <w:basedOn w:val="Normal"/>
    <w:uiPriority w:val="34"/>
    <w:qFormat/>
    <w:rsid w:val="00D148A0"/>
    <w:pPr>
      <w:spacing w:after="200" w:line="276" w:lineRule="auto"/>
      <w:ind w:left="720"/>
      <w:contextualSpacing/>
    </w:pPr>
    <w:rPr>
      <w:rFonts w:ascii="Arial" w:hAnsi="Arial"/>
    </w:rPr>
  </w:style>
  <w:style w:type="paragraph" w:styleId="Header">
    <w:name w:val="header"/>
    <w:basedOn w:val="Normal"/>
    <w:link w:val="HeaderChar"/>
    <w:uiPriority w:val="99"/>
    <w:unhideWhenUsed/>
    <w:rsid w:val="00AC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32E"/>
  </w:style>
  <w:style w:type="paragraph" w:styleId="Footer">
    <w:name w:val="footer"/>
    <w:basedOn w:val="Normal"/>
    <w:link w:val="FooterChar"/>
    <w:uiPriority w:val="99"/>
    <w:unhideWhenUsed/>
    <w:rsid w:val="00AC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oter" Target="footer1.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2021-10-13T01:52:00Z</dcterms:created>
  <dcterms:modified xsi:type="dcterms:W3CDTF">2021-11-11T06:27:00Z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A19482237</vt:lpwstr>
  </property>
  <property fmtid="{D5CDD505-2E9C-101B-9397-08002B2CF9AE}" pid="4" name="Objective-Title">
    <vt:lpwstr>9.4.1.12.2 Township convenience precinct - Assessable UPDATED</vt:lpwstr>
  </property>
  <property fmtid="{D5CDD505-2E9C-101B-9397-08002B2CF9AE}" pid="5" name="Objective-Comment">
    <vt:lpwstr/>
  </property>
  <property fmtid="{D5CDD505-2E9C-101B-9397-08002B2CF9AE}" pid="6" name="Objective-CreationStamp">
    <vt:filetime>2019-12-17T00:50:06Z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2020-01-06T22:27:08Z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