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125" w:rsidRPr="00D94CCB" w:rsidRDefault="00A20125" w:rsidP="00A20125">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13"/>
        <w:gridCol w:w="5191"/>
        <w:gridCol w:w="1734"/>
        <w:gridCol w:w="1860"/>
      </w:tblGrid>
      <w:tr w:rsidR="00D94CCB" w:rsidRPr="00D94CCB" w:rsidTr="00D94CCB">
        <w:trPr>
          <w:tblCellSpacing w:w="15" w:type="dxa"/>
        </w:trPr>
        <w:tc>
          <w:tcPr>
            <w:tcW w:w="4981" w:type="pct"/>
            <w:gridSpan w:val="4"/>
            <w:tcBorders>
              <w:top w:val="nil"/>
              <w:left w:val="nil"/>
              <w:bottom w:val="nil"/>
              <w:right w:val="nil"/>
            </w:tcBorders>
            <w:shd w:val="clear" w:color="auto" w:fill="CCCCCC"/>
            <w:vAlign w:val="center"/>
            <w:hideMark/>
          </w:tcPr>
          <w:p w:rsidR="00D94CCB" w:rsidRPr="00D94CCB" w:rsidRDefault="00D94CCB" w:rsidP="00FB0803">
            <w:pPr>
              <w:jc w:val="center"/>
              <w:rPr>
                <w:rStyle w:val="Strong"/>
                <w:rFonts w:ascii="Arial" w:eastAsia="Times New Roman" w:hAnsi="Arial" w:cs="Arial"/>
                <w:sz w:val="20"/>
                <w:szCs w:val="20"/>
              </w:rPr>
            </w:pPr>
            <w:r w:rsidRPr="00D94CCB">
              <w:rPr>
                <w:rStyle w:val="Strong"/>
                <w:rFonts w:ascii="Arial" w:eastAsia="Times New Roman" w:hAnsi="Arial" w:cs="Arial"/>
                <w:sz w:val="20"/>
                <w:szCs w:val="20"/>
              </w:rPr>
              <w:t>Table 9.4.1.6.2.1 Assessable development - General residential zone - Suburban neighbourhood precinct</w:t>
            </w: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Performance outcomes</w:t>
            </w:r>
          </w:p>
        </w:tc>
        <w:tc>
          <w:tcPr>
            <w:tcW w:w="1666" w:type="pct"/>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Examples that achieve aspects of the Performance Outcomes</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D94CCB">
            <w:pPr>
              <w:rPr>
                <w:rFonts w:ascii="Arial" w:eastAsia="Times New Roman" w:hAnsi="Arial" w:cs="Arial"/>
                <w:b/>
                <w:bCs/>
                <w:sz w:val="20"/>
                <w:szCs w:val="20"/>
              </w:rPr>
            </w:pPr>
            <w:r w:rsidRPr="00D94CCB">
              <w:rPr>
                <w:rFonts w:ascii="Arial" w:eastAsia="Times New Roman" w:hAnsi="Arial" w:cs="Arial"/>
                <w:b/>
                <w:bCs/>
                <w:sz w:val="20"/>
                <w:szCs w:val="20"/>
              </w:rPr>
              <w:t>E Compliance</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Yes</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 xml:space="preserve">No See PO or </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NA</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D94CCB">
            <w:pPr>
              <w:spacing w:before="100" w:beforeAutospacing="1" w:after="100" w:afterAutospacing="1"/>
              <w:ind w:left="150" w:right="150"/>
              <w:rPr>
                <w:rFonts w:ascii="Arial" w:eastAsia="Times New Roman" w:hAnsi="Arial" w:cs="Arial"/>
                <w:b/>
                <w:bCs/>
                <w:sz w:val="20"/>
                <w:szCs w:val="20"/>
              </w:rPr>
            </w:pPr>
            <w:r w:rsidRPr="00D94CCB">
              <w:rPr>
                <w:rFonts w:ascii="Arial" w:eastAsia="Times New Roman" w:hAnsi="Arial" w:cs="Arial"/>
                <w:b/>
                <w:bCs/>
                <w:sz w:val="20"/>
                <w:szCs w:val="20"/>
              </w:rPr>
              <w:t>Justification for compliance</w:t>
            </w: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Density</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does not exceed a net residential density of 11 lots per hectare unless the resultant lot/s are consistent with the low density and established character of the surrounding neighbourhood.</w:t>
            </w: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have a minimum site area of 600m</w:t>
            </w:r>
            <w:r w:rsidRPr="00D94CCB">
              <w:rPr>
                <w:rFonts w:ascii="Arial" w:hAnsi="Arial" w:cs="Arial"/>
                <w:sz w:val="20"/>
                <w:szCs w:val="20"/>
                <w:vertAlign w:val="superscript"/>
              </w:rPr>
              <w:t>2</w:t>
            </w:r>
            <w:r w:rsidRPr="00D94CCB">
              <w:rPr>
                <w:rFonts w:ascii="Arial" w:hAnsi="Arial" w:cs="Arial"/>
                <w:sz w:val="20"/>
                <w:szCs w:val="20"/>
              </w:rPr>
              <w:t xml:space="preserve"> and a minimum primary frontage of 12.5m.</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240"/>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Lot design, mix and location</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have an area, shape and dimension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to ensure they can accommodate:</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 Dwelling house</w:t>
            </w:r>
            <w:r w:rsidRPr="00D94CCB">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4CCB">
                <w:rPr>
                  <w:rStyle w:val="Hyperlink"/>
                  <w:rFonts w:ascii="Arial" w:hAnsi="Arial" w:cs="Arial"/>
                  <w:color w:val="auto"/>
                  <w:sz w:val="20"/>
                  <w:szCs w:val="20"/>
                  <w:vertAlign w:val="superscript"/>
                </w:rPr>
                <w:t>22</w:t>
              </w:r>
            </w:hyperlink>
            <w:r w:rsidRPr="00D94CCB">
              <w:rPr>
                <w:rFonts w:ascii="Arial" w:hAnsi="Arial" w:cs="Arial"/>
                <w:sz w:val="20"/>
                <w:szCs w:val="20"/>
                <w:vertAlign w:val="superscript"/>
              </w:rPr>
              <w:t>)</w:t>
            </w:r>
            <w:r w:rsidRPr="00D94CCB">
              <w:rPr>
                <w:rFonts w:ascii="Arial" w:hAnsi="Arial" w:cs="Arial"/>
                <w:sz w:val="20"/>
                <w:szCs w:val="20"/>
              </w:rPr>
              <w:t xml:space="preserve"> including all domestic outbuildings and possible on site servicing requirements</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car parking, access and manoeuvring;</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private open space.</w:t>
            </w: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rPr>
                <w:rFonts w:ascii="Arial" w:eastAsia="Times New Roman" w:hAnsi="Arial" w:cs="Arial"/>
                <w:sz w:val="20"/>
                <w:szCs w:val="20"/>
              </w:rPr>
            </w:pPr>
            <w:r w:rsidRPr="00D94CCB">
              <w:rPr>
                <w:rFonts w:ascii="Arial" w:eastAsia="Times New Roman" w:hAnsi="Arial" w:cs="Arial"/>
                <w:sz w:val="20"/>
                <w:szCs w:val="20"/>
              </w:rPr>
              <w:t>No example provided.</w:t>
            </w:r>
            <w:bookmarkStart w:id="0" w:name="_GoBack"/>
            <w:bookmarkEnd w:id="0"/>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does not create the opportunity for medium and </w:t>
            </w:r>
            <w:proofErr w:type="gramStart"/>
            <w:r w:rsidRPr="00D94CCB">
              <w:rPr>
                <w:rFonts w:ascii="Arial" w:hAnsi="Arial" w:cs="Arial"/>
                <w:sz w:val="20"/>
                <w:szCs w:val="20"/>
              </w:rPr>
              <w:t>high density</w:t>
            </w:r>
            <w:proofErr w:type="gramEnd"/>
            <w:r w:rsidRPr="00D94CCB">
              <w:rPr>
                <w:rFonts w:ascii="Arial" w:hAnsi="Arial" w:cs="Arial"/>
                <w:sz w:val="20"/>
                <w:szCs w:val="20"/>
              </w:rPr>
              <w:t xml:space="preserve"> development through the provision of lots with frontages of less than 10m.</w:t>
            </w:r>
          </w:p>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Sloping Land</w:t>
            </w:r>
          </w:p>
        </w:tc>
        <w:tc>
          <w:tcPr>
            <w:tcW w:w="560"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avoids the impacts of cutting, filling and retaining walls on the visual and physical amenity of the streetscape, each lot created and of adjoining lots ensuring, but not limited to, the following:</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likely location of private open space associated with a Dwelling House on each lot will not be dominated by, or encroached into by built form outcomes such as walls or fences;</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Walls and/or fences are kept to a human scale and do not represent barriers to local environmental outcomes and conditions such as good solar access and access to prevailing breezes; and</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potential for overlooking from public land into private lots is avoided wherever possible; and</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Lot design is integrated with the opportunities available for Dwelling House design to reduce impacts.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78"/>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guidelines on building design on sloped land.</w:t>
                  </w:r>
                </w:p>
              </w:tc>
            </w:tr>
          </w:tbl>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ensures that a lot has a maximum average slope of 1:15 along its long axis and 1:10 along its short axis.</w:t>
            </w:r>
          </w:p>
          <w:p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Retaining walls and benching and associated cutting, filling and other earthworks associated with reconfiguring a lot are limited to:</w:t>
            </w:r>
          </w:p>
          <w:p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a maximum vertical dimension of 1.5m from ground level for any single retaining structure; or</w:t>
            </w:r>
          </w:p>
          <w:p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where incorporating a retaining structure greater than 1.5m in height, the retaining wall is stepped, terraced and landscaped as follows:</w:t>
            </w:r>
          </w:p>
          <w:p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1m vertical, minimum 0.5m horizontal, maximum 2m vertical (refer figure below);</w:t>
            </w:r>
          </w:p>
          <w:p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overall structure height of 3m; or</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3A844BCD" wp14:editId="005CCDDF">
                  <wp:extent cx="2362200" cy="3533775"/>
                  <wp:effectExtent l="0" t="0" r="0" b="9525"/>
                  <wp:docPr id="38"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p w:rsidR="00D94CCB" w:rsidRPr="00D94CCB" w:rsidRDefault="00D94CCB" w:rsidP="00505354">
            <w:pPr>
              <w:numPr>
                <w:ilvl w:val="0"/>
                <w:numId w:val="4"/>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short axis (from side to side boundary) of a lot:</w:t>
            </w:r>
          </w:p>
          <w:p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The difference between levels at each boundary is no greater than 4m per lot;</w:t>
            </w:r>
          </w:p>
          <w:p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 (refer Figure below); or</w:t>
            </w:r>
          </w:p>
          <w:p w:rsidR="00D94CCB" w:rsidRPr="00D94CCB" w:rsidRDefault="00D94CCB" w:rsidP="00FB0803">
            <w:pP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035281B0" wp14:editId="0F45EDB8">
                  <wp:extent cx="3217779" cy="1054100"/>
                  <wp:effectExtent l="0" t="0" r="1905" b="0"/>
                  <wp:docPr id="39"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190" cy="1054562"/>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p w:rsidR="00D94CCB" w:rsidRPr="00D94CCB" w:rsidRDefault="00D94CCB" w:rsidP="00505354">
            <w:pPr>
              <w:numPr>
                <w:ilvl w:val="0"/>
                <w:numId w:val="5"/>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long axis (from front to rear boundary):</w:t>
            </w:r>
          </w:p>
          <w:p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w:t>
            </w:r>
          </w:p>
          <w:p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lots orientate up/down the slope (refer Figure below).</w:t>
            </w:r>
          </w:p>
          <w:p w:rsidR="00D94CCB" w:rsidRPr="00D94CCB" w:rsidRDefault="00D94CCB" w:rsidP="00FB0803">
            <w:pPr>
              <w:pStyle w:val="NormalWeb"/>
              <w:rPr>
                <w:rFonts w:ascii="Arial" w:hAnsi="Arial" w:cs="Arial"/>
                <w:sz w:val="20"/>
                <w:szCs w:val="20"/>
              </w:rPr>
            </w:pPr>
            <w:r>
              <w:rPr>
                <w:noProof/>
              </w:rPr>
              <w:drawing>
                <wp:inline distT="0" distB="0" distL="0" distR="0" wp14:anchorId="08B5060C" wp14:editId="0E6A1EEE">
                  <wp:extent cx="3178822" cy="1289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3173" cy="1298925"/>
                          </a:xfrm>
                          <a:prstGeom prst="rect">
                            <a:avLst/>
                          </a:prstGeom>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07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Note - Benching is to incorporate suitable measures to ensure stabilisation and prevent erosion.</w:t>
                  </w:r>
                </w:p>
              </w:tc>
            </w:tr>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Editor's note - Strict cut and fill requirements apply at the Dwelling house stage.  Deferral of slope solutions until building stage is not an acceptable outcome. </w:t>
                  </w:r>
                </w:p>
              </w:tc>
            </w:tr>
          </w:tbl>
          <w:p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lastRenderedPageBreak/>
              <w:t>Figure - Sloped lot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1294F7D5" wp14:editId="77F45F9F">
                  <wp:extent cx="5486400" cy="4257675"/>
                  <wp:effectExtent l="0" t="0" r="0" b="9525"/>
                  <wp:docPr id="41" name="ID-2693446-839798"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839798" descr="RAL - ventilation retaining walls revi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p>
          <w:p w:rsidR="00D94CCB" w:rsidRPr="00D94CCB" w:rsidRDefault="00D94CCB" w:rsidP="00FB0803">
            <w:pPr>
              <w:jc w:val="cente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jc w:val="center"/>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jc w:val="center"/>
              <w:rPr>
                <w:rStyle w:val="Strong"/>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5"/>
        <w:gridCol w:w="5274"/>
        <w:gridCol w:w="1697"/>
        <w:gridCol w:w="1766"/>
      </w:tblGrid>
      <w:tr w:rsidR="00D94CCB" w:rsidRPr="00D94CCB" w:rsidTr="00D94CCB">
        <w:trPr>
          <w:trHeight w:val="345"/>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Rear lots</w:t>
            </w:r>
          </w:p>
        </w:tc>
        <w:tc>
          <w:tcPr>
            <w:tcW w:w="54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2820"/>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Rear lots:</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contribute to the mix of lot sizes;</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are limited to 1 behind any full frontage lot (i.e. A lot with a street frontage that is not an access handle);</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 xml:space="preserve">Provide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area for vehicles to manoeuvre on-site allowing entry and exit to the rear lot in forward gear.</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handles for rear lots are:</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 minimum of 5m wide to allow for safe vehicle access and service corridors from the rear lot to the street;</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are located on 1 side of the full frontage lot;</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limited to no more than 2 directly adjoining each other.</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Street design and layout</w:t>
            </w:r>
          </w:p>
        </w:tc>
        <w:tc>
          <w:tcPr>
            <w:tcW w:w="54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facilitates regular and consistent shaped lots </w:t>
            </w:r>
            <w:proofErr w:type="gramStart"/>
            <w:r w:rsidRPr="00D94CCB">
              <w:rPr>
                <w:rFonts w:ascii="Arial" w:hAnsi="Arial" w:cs="Arial"/>
                <w:sz w:val="20"/>
                <w:szCs w:val="20"/>
              </w:rPr>
              <w:t>through the use of</w:t>
            </w:r>
            <w:proofErr w:type="gramEnd"/>
            <w:r w:rsidRPr="00D94CCB">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is designed to connect to surrounding neighbourhoods, providing an interconnected street, pedestrian and cyclist network that connects </w:t>
            </w:r>
            <w:r w:rsidRPr="00D94CCB">
              <w:rPr>
                <w:rFonts w:ascii="Arial" w:hAnsi="Arial" w:cs="Arial"/>
                <w:sz w:val="20"/>
                <w:szCs w:val="20"/>
              </w:rPr>
              <w:lastRenderedPageBreak/>
              <w:t>nearby centres, neighbourhood hubs, community facilities, public transport nodes and open space to residential areas.</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layout ensures that new development is provided with multiple points of access. The timing of transport works ensures that multiple points of access are provided during early stages of a development.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above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provides and maintains the connections shown on the following movement figures:</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1 - Elimbah - Beerburrum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Figure 2 - Bellmere - Guilford Court</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3 - Narangba - Youngs Road / Oakey Flat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4 - Dakabin</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5 - Mango Hill - Johns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6 - Lawnton - Akers Road / Isis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7 - Albany Creek - Morgan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8 - Deception Bay - Bailey Road / Park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9 - Rothwell - Whitlock Drive</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For areas not shown on the above movement figures, no example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Performance outcome. </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5085"/>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increased active transport with a focus on safety and amenity for pedestrians and cyclists;</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street blocks with a maximum walkable perimeter of 600m;</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a variety of street block sizes to facilitate a range of intensity and scale in built form;</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reducing street block sizes as they approach an activity focus. (e.g. centre, neighbourhood hub, train station, community activity, public open space);</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possible future connections to adjoining sites for roads, green linkages and other essential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Cul-de-sacs or </w:t>
            </w:r>
            <w:proofErr w:type="gramStart"/>
            <w:r w:rsidRPr="00D94CCB">
              <w:rPr>
                <w:rFonts w:ascii="Arial" w:hAnsi="Arial" w:cs="Arial"/>
                <w:sz w:val="20"/>
                <w:szCs w:val="20"/>
              </w:rPr>
              <w:t>dead end</w:t>
            </w:r>
            <w:proofErr w:type="gramEnd"/>
            <w:r w:rsidRPr="00D94CCB">
              <w:rPr>
                <w:rFonts w:ascii="Arial" w:hAnsi="Arial" w:cs="Arial"/>
                <w:sz w:val="20"/>
                <w:szCs w:val="20"/>
              </w:rPr>
              <w:t xml:space="preserve"> streets are not proposed unless:</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topography or other physical barriers exist to the continuance of the street network or vehicle connection to an existing road is not permitted;</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there are no appropriate alternative solutions;</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 xml:space="preserve">the cul-de-sac or </w:t>
            </w:r>
            <w:proofErr w:type="gramStart"/>
            <w:r w:rsidRPr="00D94CCB">
              <w:rPr>
                <w:rFonts w:ascii="Arial" w:hAnsi="Arial" w:cs="Arial"/>
                <w:sz w:val="20"/>
                <w:szCs w:val="20"/>
              </w:rPr>
              <w:t>dead end</w:t>
            </w:r>
            <w:proofErr w:type="gramEnd"/>
            <w:r w:rsidRPr="00D94CCB">
              <w:rPr>
                <w:rFonts w:ascii="Arial" w:hAnsi="Arial" w:cs="Arial"/>
                <w:sz w:val="20"/>
                <w:szCs w:val="20"/>
              </w:rPr>
              <w:t xml:space="preserve"> street will facilitate future connections to adjoining land or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cul-de-sacs are proposed:</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head must be visible from the entry point;</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are to be no longer than 50 metres in length;</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 xml:space="preserve">emergency access can be achieved under circumstances </w:t>
            </w:r>
            <w:proofErr w:type="gramStart"/>
            <w:r w:rsidRPr="00D94CCB">
              <w:rPr>
                <w:rFonts w:ascii="Arial" w:hAnsi="Arial" w:cs="Arial"/>
                <w:sz w:val="20"/>
                <w:szCs w:val="20"/>
              </w:rPr>
              <w:t>where  entry</w:t>
            </w:r>
            <w:proofErr w:type="gramEnd"/>
            <w:r w:rsidRPr="00D94CCB">
              <w:rPr>
                <w:rFonts w:ascii="Arial" w:hAnsi="Arial" w:cs="Arial"/>
                <w:sz w:val="20"/>
                <w:szCs w:val="20"/>
              </w:rPr>
              <w:t xml:space="preserve"> via the carriageway may be compromised.</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cul-de-sacs are proposed due to </w:t>
            </w:r>
            <w:proofErr w:type="spellStart"/>
            <w:r w:rsidRPr="00D94CCB">
              <w:rPr>
                <w:rFonts w:ascii="Arial" w:hAnsi="Arial" w:cs="Arial"/>
                <w:sz w:val="20"/>
                <w:szCs w:val="20"/>
              </w:rPr>
              <w:t>vehicluar</w:t>
            </w:r>
            <w:proofErr w:type="spellEnd"/>
            <w:r w:rsidRPr="00D94CCB">
              <w:rPr>
                <w:rFonts w:ascii="Arial" w:hAnsi="Arial" w:cs="Arial"/>
                <w:sz w:val="20"/>
                <w:szCs w:val="20"/>
              </w:rPr>
              <w:t xml:space="preserve"> connection to existing roads not being permitted, they are to be designed to allow a 10m wide pedestrian connection through to the existing road with no lots proposed at the head of the cul-de-sac generally as shown in the figure below.</w:t>
            </w:r>
          </w:p>
          <w:p w:rsidR="00D94CCB" w:rsidRPr="00D94CCB" w:rsidRDefault="00D94CCB" w:rsidP="00FB0803">
            <w:pP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Example Cul-de-sac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1BCA918A" wp14:editId="453E205E">
                  <wp:extent cx="2876550" cy="2705100"/>
                  <wp:effectExtent l="0" t="0" r="0" b="0"/>
                  <wp:docPr id="42" name="ID-2693446-5261"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1"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designed and oriented to minimise the impact of cut and fill on the amenity of the streetscape and adjoining development.</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alignment follows ridges or gullies or runs perpendicular to slope.</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5265"/>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controlled solar access &amp; shade provision;</w:t>
            </w:r>
          </w:p>
          <w:p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cross-ventilation</w:t>
            </w:r>
          </w:p>
          <w:p w:rsidR="00D94CCB" w:rsidRPr="00D94CCB" w:rsidRDefault="00D94CCB" w:rsidP="00FB0803">
            <w:pPr>
              <w:rPr>
                <w:rFonts w:ascii="Arial" w:eastAsia="Times New Roman" w:hAnsi="Arial" w:cs="Arial"/>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guidance on how to achieve subtropical design solutions.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not unduly constrained by topography or other physical barrier, streets are primarily oriented within 20 or 30 degrees of North-South or East-West in accordance with Figure - Preferred street orientation below</w:t>
            </w:r>
            <w:r w:rsidRPr="00D94CCB">
              <w:rPr>
                <w:rStyle w:val="Strong"/>
                <w:rFonts w:ascii="Arial" w:hAnsi="Arial" w:cs="Arial"/>
                <w:sz w:val="20"/>
                <w:szCs w:val="20"/>
              </w:rPr>
              <w:t>.</w:t>
            </w:r>
          </w:p>
          <w:p w:rsidR="00D94CCB" w:rsidRPr="00D94CCB" w:rsidRDefault="00D94CCB" w:rsidP="00FB0803">
            <w:pP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Preferred street orientation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7B6C89B1" wp14:editId="0DEB3973">
                  <wp:extent cx="2876550" cy="2543175"/>
                  <wp:effectExtent l="0" t="0" r="0" b="9525"/>
                  <wp:docPr id="43" name="ID-2693446-5265"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5"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 xml:space="preserve">The long axis of a street block is oriented east-west to facilitate a north-south orientation for </w:t>
            </w:r>
            <w:proofErr w:type="gramStart"/>
            <w:r w:rsidRPr="00D94CCB">
              <w:rPr>
                <w:rFonts w:ascii="Arial" w:hAnsi="Arial" w:cs="Arial"/>
                <w:sz w:val="20"/>
                <w:szCs w:val="20"/>
              </w:rPr>
              <w:t>a majority of</w:t>
            </w:r>
            <w:proofErr w:type="gramEnd"/>
            <w:r w:rsidRPr="00D94CCB">
              <w:rPr>
                <w:rFonts w:ascii="Arial" w:hAnsi="Arial" w:cs="Arial"/>
                <w:sz w:val="20"/>
                <w:szCs w:val="20"/>
              </w:rPr>
              <w:t xml:space="preserve"> lots as per Figure - Street block design below.</w:t>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the long axis of lot boundaries </w:t>
            </w:r>
            <w:proofErr w:type="gramStart"/>
            <w:r w:rsidRPr="00D94CCB">
              <w:rPr>
                <w:rFonts w:ascii="Arial" w:hAnsi="Arial" w:cs="Arial"/>
                <w:sz w:val="20"/>
                <w:szCs w:val="20"/>
              </w:rPr>
              <w:t>are</w:t>
            </w:r>
            <w:proofErr w:type="gramEnd"/>
            <w:r w:rsidRPr="00D94CCB">
              <w:rPr>
                <w:rFonts w:ascii="Arial" w:hAnsi="Arial" w:cs="Arial"/>
                <w:sz w:val="20"/>
                <w:szCs w:val="20"/>
              </w:rPr>
              <w:t xml:space="preserve"> oriented east west, they are to have a frontage of 16 metres or wider so as to allow for alternative dwelling design to achieve solar access and cross-ventilation as per Figure - Street block design below.</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spacing w:after="240"/>
              <w:rPr>
                <w:rFonts w:ascii="Arial" w:eastAsia="Times New Roman" w:hAnsi="Arial" w:cs="Arial"/>
                <w:sz w:val="20"/>
                <w:szCs w:val="20"/>
              </w:rPr>
            </w:pPr>
            <w:r w:rsidRPr="00D94CCB">
              <w:rPr>
                <w:rFonts w:ascii="Arial" w:eastAsia="Times New Roman" w:hAnsi="Arial" w:cs="Arial"/>
                <w:sz w:val="20"/>
                <w:szCs w:val="20"/>
              </w:rPr>
              <w:br/>
            </w: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Street block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1407A4DB" wp14:editId="044C2241">
                  <wp:extent cx="3565629" cy="3251200"/>
                  <wp:effectExtent l="0" t="0" r="0" b="6350"/>
                  <wp:docPr id="44" name="ID-2693446-6043"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6043" descr="house bl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9350" cy="3254593"/>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spacing w:after="240"/>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spacing w:after="240"/>
              <w:rPr>
                <w:rFonts w:ascii="Arial" w:eastAsia="Times New Roman"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PO16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street network creates convenient access to arterial and sub-arterial roads for heavy vehicles and commercial traffic without introducing through traffic to residential streets.</w:t>
            </w:r>
          </w:p>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94CCB">
              <w:rPr>
                <w:rFonts w:ascii="Arial" w:hAnsi="Arial" w:cs="Arial"/>
                <w:sz w:val="20"/>
                <w:szCs w:val="20"/>
              </w:rPr>
              <w:t>accommodates</w:t>
            </w:r>
            <w:proofErr w:type="gramEnd"/>
            <w:r w:rsidRPr="00D94CCB">
              <w:rPr>
                <w:rFonts w:ascii="Arial" w:hAnsi="Arial" w:cs="Arial"/>
                <w:sz w:val="20"/>
                <w:szCs w:val="20"/>
              </w:rPr>
              <w:t xml:space="preserve"> the following functions: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access to premises by providing convenient vehicular movement for residents between their homes and the major road network;</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safe and convenient pedestrian and cycle movement;</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adequate on street parking;</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stormwater drainage paths and treatment facilities;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efficient public transport routes;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utility services location;</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emergency access and waste collection;</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setting and approach (streetscape, landscaping and street furniture) for adjoining residences;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expected traffic speeds and volumes; and</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D94CCB" w:rsidRPr="00D94CCB" w:rsidTr="00FB0803">
              <w:trPr>
                <w:tblCellSpacing w:w="15" w:type="dxa"/>
              </w:trPr>
              <w:tc>
                <w:tcPr>
                  <w:tcW w:w="0" w:type="auto"/>
                  <w:vAlign w:val="center"/>
                  <w:hideMark/>
                </w:tcPr>
                <w:p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Refer to Planning scheme policy - Environmental areas and corridors for examples of when and where wildlife movement infrastructure is required.</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is within 200m of a transport sensitive location such as a school, shopping centre, bus or train station or a large generator of pedestrian or vehicular traffic;</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 xml:space="preserve">forecast traffic to/from the development exceeds 5% of the </w:t>
                  </w:r>
                  <w:proofErr w:type="gramStart"/>
                  <w:r w:rsidRPr="00606EA1">
                    <w:rPr>
                      <w:rFonts w:ascii="Arial" w:hAnsi="Arial" w:cs="Arial"/>
                      <w:sz w:val="18"/>
                      <w:szCs w:val="20"/>
                    </w:rPr>
                    <w:t>two way</w:t>
                  </w:r>
                  <w:proofErr w:type="gramEnd"/>
                  <w:r w:rsidRPr="00606EA1">
                    <w:rPr>
                      <w:rFonts w:ascii="Arial" w:hAnsi="Arial" w:cs="Arial"/>
                      <w:sz w:val="18"/>
                      <w:szCs w:val="20"/>
                    </w:rPr>
                    <w:t xml:space="preserve"> flow on the adjoining road or intersection in the morning or afternoon transport peak within 10 years of the development completion;</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access onto a sub arterial, or arterial road or within 100m of a signalised intersection;</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residential development greater than 50 lots or dwellings;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offices greater than 4,000m</w:t>
                  </w:r>
                  <w:r w:rsidRPr="00606EA1">
                    <w:rPr>
                      <w:rFonts w:ascii="Arial" w:hAnsi="Arial" w:cs="Arial"/>
                      <w:sz w:val="18"/>
                      <w:szCs w:val="20"/>
                      <w:vertAlign w:val="superscript"/>
                    </w:rPr>
                    <w:t>2</w:t>
                  </w:r>
                  <w:r w:rsidRPr="00606EA1">
                    <w:rPr>
                      <w:rFonts w:ascii="Arial" w:hAnsi="Arial" w:cs="Arial"/>
                      <w:sz w:val="18"/>
                      <w:szCs w:val="20"/>
                    </w:rPr>
                    <w:t xml:space="preserve"> Gross Floor Area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retail activities including Hardware and trade supplies, Showroom, Shop or Shopping centre greater than 1,000m</w:t>
                  </w:r>
                  <w:r w:rsidRPr="00606EA1">
                    <w:rPr>
                      <w:rFonts w:ascii="Arial" w:hAnsi="Arial" w:cs="Arial"/>
                      <w:sz w:val="18"/>
                      <w:szCs w:val="20"/>
                      <w:vertAlign w:val="superscript"/>
                    </w:rPr>
                    <w:t>2</w:t>
                  </w:r>
                  <w:r w:rsidRPr="00606EA1">
                    <w:rPr>
                      <w:rFonts w:ascii="Arial" w:hAnsi="Arial" w:cs="Arial"/>
                      <w:sz w:val="18"/>
                      <w:szCs w:val="20"/>
                    </w:rPr>
                    <w:t xml:space="preserve">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warehouses and Industry greater than 6,000m</w:t>
                  </w:r>
                  <w:r w:rsidRPr="00606EA1">
                    <w:rPr>
                      <w:rFonts w:ascii="Arial" w:hAnsi="Arial" w:cs="Arial"/>
                      <w:sz w:val="18"/>
                      <w:szCs w:val="20"/>
                      <w:vertAlign w:val="superscript"/>
                    </w:rPr>
                    <w:t>2</w:t>
                  </w:r>
                  <w:r w:rsidRPr="00606EA1">
                    <w:rPr>
                      <w:rFonts w:ascii="Arial" w:hAnsi="Arial" w:cs="Arial"/>
                      <w:sz w:val="18"/>
                      <w:szCs w:val="20"/>
                    </w:rPr>
                    <w:t xml:space="preserve">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on-site carpark greater than 100 spaces;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has a trip generation rate of 100 vehicles or more within the peak hour; </w:t>
                  </w:r>
                </w:p>
                <w:p w:rsidR="00D94CCB" w:rsidRPr="00D94CCB" w:rsidRDefault="00D94CCB" w:rsidP="00505354">
                  <w:pPr>
                    <w:numPr>
                      <w:ilvl w:val="0"/>
                      <w:numId w:val="14"/>
                    </w:numPr>
                    <w:spacing w:before="100" w:beforeAutospacing="1" w:after="100" w:afterAutospacing="1"/>
                    <w:rPr>
                      <w:rFonts w:ascii="Arial" w:hAnsi="Arial" w:cs="Arial"/>
                      <w:sz w:val="20"/>
                      <w:szCs w:val="20"/>
                    </w:rPr>
                  </w:pPr>
                  <w:r w:rsidRPr="00606EA1">
                    <w:rPr>
                      <w:rFonts w:ascii="Arial" w:hAnsi="Arial" w:cs="Arial"/>
                      <w:sz w:val="18"/>
                      <w:szCs w:val="20"/>
                    </w:rPr>
                    <w:t>development which dissects or significantly impacts on an environmental area or an environmental corridor.</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606EA1">
                    <w:rPr>
                      <w:rFonts w:ascii="Arial" w:hAnsi="Arial" w:cs="Arial"/>
                      <w:sz w:val="18"/>
                      <w:szCs w:val="20"/>
                    </w:rPr>
                    <w:t>sufficient</w:t>
                  </w:r>
                  <w:proofErr w:type="gramEnd"/>
                  <w:r w:rsidRPr="00606EA1">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Design is to be in </w:t>
            </w:r>
            <w:r w:rsidRPr="00D94CCB">
              <w:rPr>
                <w:rFonts w:ascii="Arial" w:hAnsi="Arial" w:cs="Arial"/>
                <w:sz w:val="20"/>
                <w:szCs w:val="20"/>
              </w:rPr>
              <w:lastRenderedPageBreak/>
              <w:t>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new road intersections wherever practicable.</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new road intersections and along road frontages wherever practicable.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upgraded road intersections wherever practicable.</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upgraded road intersections and along road frontages wherever practicable.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active transport network is extended in accordance with Planning scheme policy - Integrated design.</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New intersections along all streets and roads are located and designed to provide for the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606EA1">
                    <w:rPr>
                      <w:rFonts w:ascii="Arial" w:hAnsi="Arial" w:cs="Arial"/>
                      <w:sz w:val="18"/>
                      <w:szCs w:val="20"/>
                    </w:rPr>
                    <w:br/>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w:t>
                  </w:r>
                  <w:proofErr w:type="gramStart"/>
                  <w:r w:rsidRPr="00606EA1">
                    <w:rPr>
                      <w:rFonts w:ascii="Arial" w:hAnsi="Arial" w:cs="Arial"/>
                      <w:sz w:val="18"/>
                      <w:szCs w:val="20"/>
                    </w:rPr>
                    <w:t>-  An</w:t>
                  </w:r>
                  <w:proofErr w:type="gramEnd"/>
                  <w:r w:rsidRPr="00606EA1">
                    <w:rPr>
                      <w:rFonts w:ascii="Arial" w:hAnsi="Arial" w:cs="Arial"/>
                      <w:sz w:val="18"/>
                      <w:szCs w:val="20"/>
                    </w:rPr>
                    <w:t xml:space="preserve">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New intersection spacing (centreline – centreline) along a through road conforms with the following:</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access or residential street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60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40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local collector or district collector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100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60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sub-arterial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250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100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arterial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350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150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Walkable block perimeter does not exceed:</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 xml:space="preserve">600 metres in the Coastal </w:t>
            </w:r>
            <w:proofErr w:type="gramStart"/>
            <w:r w:rsidRPr="00D94CCB">
              <w:rPr>
                <w:rFonts w:ascii="Arial" w:hAnsi="Arial" w:cs="Arial"/>
                <w:sz w:val="20"/>
                <w:szCs w:val="20"/>
              </w:rPr>
              <w:t>communities</w:t>
            </w:r>
            <w:proofErr w:type="gramEnd"/>
            <w:r w:rsidRPr="00D94CCB">
              <w:rPr>
                <w:rFonts w:ascii="Arial" w:hAnsi="Arial" w:cs="Arial"/>
                <w:sz w:val="20"/>
                <w:szCs w:val="20"/>
              </w:rPr>
              <w:t xml:space="preserve"> precinct and Suburban neighbourhood </w:t>
            </w:r>
            <w:proofErr w:type="spellStart"/>
            <w:r w:rsidRPr="00D94CCB">
              <w:rPr>
                <w:rFonts w:ascii="Arial" w:hAnsi="Arial" w:cs="Arial"/>
                <w:sz w:val="20"/>
                <w:szCs w:val="20"/>
              </w:rPr>
              <w:t>precicint</w:t>
            </w:r>
            <w:proofErr w:type="spellEnd"/>
            <w:r w:rsidRPr="00D94CCB">
              <w:rPr>
                <w:rFonts w:ascii="Arial" w:hAnsi="Arial" w:cs="Arial"/>
                <w:sz w:val="20"/>
                <w:szCs w:val="20"/>
              </w:rPr>
              <w:t>;</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500 metres in the Next generation neighbourhood precinct;</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400 metres in the Urban neighbourhood precinct.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Based on the absolute minimum intersection spacing identified above, all turns access may not be permitted (</w:t>
                  </w:r>
                  <w:proofErr w:type="spellStart"/>
                  <w:r w:rsidRPr="00606EA1">
                    <w:rPr>
                      <w:rFonts w:ascii="Arial" w:hAnsi="Arial" w:cs="Arial"/>
                      <w:sz w:val="18"/>
                      <w:szCs w:val="20"/>
                    </w:rPr>
                    <w:t>ie</w:t>
                  </w:r>
                  <w:proofErr w:type="spellEnd"/>
                  <w:r w:rsidRPr="00606EA1">
                    <w:rPr>
                      <w:rFonts w:ascii="Arial" w:hAnsi="Arial" w:cs="Arial"/>
                      <w:sz w:val="18"/>
                      <w:szCs w:val="20"/>
                    </w:rPr>
                    <w:t>. left in/left out only) at intersections with sub-arterial roads or arterial roads.</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The road network is mapped on Overlay map - Road hierarchy.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Frontage roads include streets where no direct lot access is provided.</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24"/>
              <w:gridCol w:w="2524"/>
              <w:gridCol w:w="45"/>
            </w:tblGrid>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Minimum construction</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unconstructed or gravel road only;</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sealed but not constructed* to Planning scheme policy - Integrated design standard;</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minimum total travel lane width is:</w:t>
                  </w:r>
                </w:p>
                <w:p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6m for minor roads;</w:t>
                  </w:r>
                </w:p>
                <w:p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7m for major roads.</w:t>
                  </w:r>
                </w:p>
              </w:tc>
            </w:tr>
            <w:tr w:rsidR="00D94CCB" w:rsidRPr="00606EA1"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Major roads are sub-arterial roads and arterial roads.  Minor roads are roads that are not major roads.</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Construction includes all associated works (services, street lighting and </w:t>
                  </w:r>
                  <w:proofErr w:type="spellStart"/>
                  <w:r w:rsidRPr="00606EA1">
                    <w:rPr>
                      <w:rFonts w:ascii="Arial" w:hAnsi="Arial" w:cs="Arial"/>
                      <w:sz w:val="18"/>
                      <w:szCs w:val="20"/>
                    </w:rPr>
                    <w:t>linemarking</w:t>
                  </w:r>
                  <w:proofErr w:type="spellEnd"/>
                  <w:r w:rsidRPr="00606EA1">
                    <w:rPr>
                      <w:rFonts w:ascii="Arial" w:hAnsi="Arial" w:cs="Arial"/>
                      <w:sz w:val="18"/>
                      <w:szCs w:val="20"/>
                    </w:rPr>
                    <w:t>).</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Alignment within road reserves is to be agreed with Council.</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*Roads </w:t>
                  </w:r>
                  <w:proofErr w:type="gramStart"/>
                  <w:r w:rsidRPr="00606EA1">
                    <w:rPr>
                      <w:rFonts w:ascii="Arial" w:hAnsi="Arial" w:cs="Arial"/>
                      <w:sz w:val="18"/>
                      <w:szCs w:val="20"/>
                    </w:rPr>
                    <w:t>are considered to be</w:t>
                  </w:r>
                  <w:proofErr w:type="gramEnd"/>
                  <w:r w:rsidRPr="00606EA1">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Editor's note - Where associated with a State-controlled road, further requirements may apply, and approvals may be required from the Department of Transport and Main Roads.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The road network is mapped on Overlay map - Road hierarchy.</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Access roads to the development have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QUDM for requirements regarding trafficability. </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Culverts and causeways do not increase inundation levels or increase velocities, for all events up to the defined flood event, to upstream or downstream properties.</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632"/>
        <w:gridCol w:w="37"/>
        <w:gridCol w:w="5275"/>
        <w:gridCol w:w="1687"/>
        <w:gridCol w:w="1751"/>
      </w:tblGrid>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Park and open space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 hierarchy of Parks</w:t>
            </w:r>
            <w:r w:rsidRPr="00D94CCB">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To determine the extent of Park</w:t>
                  </w:r>
                  <w:r w:rsidRPr="00606EA1">
                    <w:rPr>
                      <w:rFonts w:ascii="Arial" w:hAnsi="Arial" w:cs="Arial"/>
                      <w:sz w:val="18"/>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and open space required refer to Planning scheme policy - Integrated design.</w:t>
                  </w:r>
                </w:p>
              </w:tc>
            </w:tr>
          </w:tbl>
          <w:p w:rsidR="00D94CCB" w:rsidRPr="00606EA1" w:rsidRDefault="00D94CCB" w:rsidP="00FB0803">
            <w:pPr>
              <w:rPr>
                <w:rFonts w:ascii="Arial" w:eastAsia="Times New Roman" w:hAnsi="Arial" w:cs="Arial"/>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District level Parks</w:t>
                  </w:r>
                  <w:r w:rsidRPr="00606EA1">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or larger may be required in certain locations in accordance with Part 4: Local Government Infrastructure Plan.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To determine maximum walking distances for Park </w:t>
                  </w:r>
                  <w:r w:rsidRPr="00606EA1">
                    <w:rPr>
                      <w:rFonts w:ascii="Arial" w:hAnsi="Arial" w:cs="Arial"/>
                      <w:sz w:val="18"/>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types refer to Planning scheme policy - Integrated design.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To determine the size and design standards for Parks</w:t>
                  </w:r>
                  <w:r w:rsidRPr="00606EA1">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refer to Planning scheme policy - Integrated design.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Parks</w:t>
            </w:r>
            <w:r w:rsidRPr="00D94CCB">
              <w:rPr>
                <w:rFonts w:ascii="Arial" w:hAnsi="Arial" w:cs="Arial"/>
                <w:sz w:val="20"/>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designed and located to be safe and useable for all members of the community with high levels of surveillance, based on Crime Prevention Through Environmental Design (CPTED) principles, and access.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Local and district Parks</w:t>
            </w:r>
            <w:r w:rsidRPr="00D94CCB">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bordered by streets and lots orientated to address and front onto Parks and not lots backing onto or not addressing the Park.</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Where lots do adjoin local and district Parks</w:t>
            </w:r>
            <w:r w:rsidRPr="00D94CCB">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and fencing is provided along the Park</w:t>
            </w:r>
            <w:r w:rsidRPr="00D94CCB">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boundary, it is located within the lot and at a maximum height of 1m.</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design of fencing and retaining features allows for safe and direct pedestrian access between the Park</w:t>
            </w:r>
            <w:r w:rsidRPr="00D94CCB">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private allotments through the use of gates and limited retaining features along Park</w:t>
            </w:r>
            <w:r w:rsidRPr="00D94CCB">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boundaries.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Boundary realignment</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alignments ensure that infrastructure and services are wholly contained within the lot they serve.</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9F0F63" w:rsidP="009F0F63">
            <w:pPr>
              <w:rPr>
                <w:rFonts w:ascii="Arial" w:hAnsi="Arial" w:cs="Arial"/>
                <w:sz w:val="20"/>
                <w:szCs w:val="20"/>
              </w:rPr>
            </w:pPr>
            <w:r>
              <w:rPr>
                <w:rFonts w:ascii="Arial" w:hAnsi="Arial" w:cs="Arial"/>
                <w:sz w:val="20"/>
                <w:szCs w:val="20"/>
              </w:rPr>
              <w:t>N</w:t>
            </w:r>
            <w:r w:rsidR="00D94CCB" w:rsidRPr="00D94CCB">
              <w:rPr>
                <w:rFonts w:ascii="Arial" w:hAnsi="Arial" w:cs="Arial"/>
                <w:sz w:val="20"/>
                <w:szCs w:val="20"/>
              </w:rPr>
              <w:t>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rHeight w:val="6840"/>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does not result in:</w:t>
            </w:r>
          </w:p>
          <w:p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existing land uses on-site becoming non-complying with planning scheme criteria;</w:t>
            </w:r>
          </w:p>
          <w:p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 xml:space="preserve">lots being </w:t>
            </w:r>
            <w:proofErr w:type="spellStart"/>
            <w:r w:rsidRPr="00D94CCB">
              <w:rPr>
                <w:rFonts w:ascii="Arial" w:hAnsi="Arial" w:cs="Arial"/>
                <w:sz w:val="20"/>
                <w:szCs w:val="20"/>
              </w:rPr>
              <w:t>unserviced</w:t>
            </w:r>
            <w:proofErr w:type="spellEnd"/>
            <w:r w:rsidRPr="00D94CCB">
              <w:rPr>
                <w:rFonts w:ascii="Arial" w:hAnsi="Arial" w:cs="Arial"/>
                <w:sz w:val="20"/>
                <w:szCs w:val="20"/>
              </w:rPr>
              <w:t xml:space="preserve">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Examples of a. above may include but are not limited to:</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minimum lot size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setbacks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parking and access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servicing and Infrastructure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dependant elements of an existing or approved land use being separately titled, including but not limited to:</w:t>
                  </w:r>
                </w:p>
                <w:p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premises is approved as Multiple dwelling</w:t>
                  </w:r>
                  <w:r w:rsidRPr="00606EA1">
                    <w:rPr>
                      <w:rFonts w:ascii="Arial" w:hAnsi="Arial" w:cs="Arial"/>
                      <w:sz w:val="18"/>
                      <w:szCs w:val="20"/>
                      <w:vertAlign w:val="superscript"/>
                    </w:rPr>
                    <w:t>(</w:t>
                  </w:r>
                  <w:hyperlink r:id="rId28"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with a communal open space area, the communal open space cannot be separately titled as it is required by the Multiple dwelling</w:t>
                  </w:r>
                  <w:r w:rsidRPr="00606EA1">
                    <w:rPr>
                      <w:rFonts w:ascii="Arial" w:hAnsi="Arial" w:cs="Arial"/>
                      <w:sz w:val="18"/>
                      <w:szCs w:val="20"/>
                      <w:vertAlign w:val="superscript"/>
                    </w:rPr>
                    <w:t>(</w:t>
                  </w:r>
                  <w:hyperlink r:id="rId29"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approval.</w:t>
                  </w:r>
                </w:p>
                <w:p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a commercial or industrial land use contains an ancillary office</w:t>
                  </w:r>
                  <w:r w:rsidRPr="00606EA1">
                    <w:rPr>
                      <w:rFonts w:ascii="Arial" w:hAnsi="Arial" w:cs="Arial"/>
                      <w:sz w:val="18"/>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the office</w:t>
                  </w:r>
                  <w:r w:rsidRPr="00606EA1">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xml:space="preserve"> cannot be separately titled as it is considered part of the commercial or industrial use.</w:t>
                  </w:r>
                </w:p>
                <w:p w:rsidR="00D94CCB" w:rsidRPr="00D94CCB" w:rsidRDefault="00D94CCB" w:rsidP="00505354">
                  <w:pPr>
                    <w:pStyle w:val="NormalWeb"/>
                    <w:numPr>
                      <w:ilvl w:val="1"/>
                      <w:numId w:val="18"/>
                    </w:numPr>
                    <w:rPr>
                      <w:rFonts w:ascii="Arial" w:hAnsi="Arial" w:cs="Arial"/>
                      <w:sz w:val="20"/>
                      <w:szCs w:val="20"/>
                    </w:rPr>
                  </w:pPr>
                  <w:r w:rsidRPr="00606EA1">
                    <w:rPr>
                      <w:rFonts w:ascii="Arial" w:hAnsi="Arial" w:cs="Arial"/>
                      <w:sz w:val="18"/>
                      <w:szCs w:val="20"/>
                    </w:rPr>
                    <w:t>Where a Dwelling house</w:t>
                  </w:r>
                  <w:r w:rsidRPr="00606EA1">
                    <w:rPr>
                      <w:rFonts w:ascii="Arial" w:hAnsi="Arial" w:cs="Arial"/>
                      <w:sz w:val="18"/>
                      <w:szCs w:val="20"/>
                      <w:vertAlign w:val="superscript"/>
                    </w:rPr>
                    <w:t>(</w:t>
                  </w:r>
                  <w:hyperlink r:id="rId3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rHeight w:val="1965"/>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overall outcomes for the General residential zone - Suburban neighbourhood precinct for uses consistent in this precinct.</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 sizes and dimensions comply (excluding any access handles) with Lot Types D, E or F in accordance with Table 9.4.1.6.2.3: Lot Types.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existing development by Community Title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PO30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creates or amends a community title scheme as described in the </w:t>
            </w:r>
            <w:r w:rsidRPr="00D94CCB">
              <w:rPr>
                <w:rStyle w:val="Emphasis"/>
                <w:rFonts w:ascii="Arial" w:hAnsi="Arial" w:cs="Arial"/>
                <w:sz w:val="20"/>
                <w:szCs w:val="20"/>
              </w:rPr>
              <w:t>Body Corporate and Community Management Act 199</w:t>
            </w:r>
            <w:r w:rsidRPr="00D94CCB">
              <w:rPr>
                <w:rFonts w:ascii="Arial" w:hAnsi="Arial" w:cs="Arial"/>
                <w:sz w:val="20"/>
                <w:szCs w:val="20"/>
              </w:rPr>
              <w:t>7 is undertaken in a way that does not result in existing uses on the land becoming unlawful or otherwise operating in a manner that is:</w:t>
            </w:r>
          </w:p>
          <w:p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D94CCB" w:rsidTr="00606EA1">
              <w:trPr>
                <w:trHeight w:val="2580"/>
                <w:tblCellSpacing w:w="15" w:type="dxa"/>
              </w:trPr>
              <w:tc>
                <w:tcPr>
                  <w:tcW w:w="6523"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-Examples of land uses becoming unlawful include, but are not limited to the following:</w:t>
                  </w:r>
                </w:p>
                <w:p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Dual occupancy</w:t>
                  </w:r>
                  <w:r w:rsidRPr="00606EA1">
                    <w:rPr>
                      <w:rFonts w:ascii="Arial" w:eastAsia="Times New Roman" w:hAnsi="Arial" w:cs="Arial"/>
                      <w:sz w:val="18"/>
                      <w:szCs w:val="20"/>
                      <w:vertAlign w:val="superscript"/>
                    </w:rPr>
                    <w:t>(</w:t>
                  </w:r>
                  <w:hyperlink r:id="rId34"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606EA1">
                    <w:rPr>
                      <w:rFonts w:ascii="Arial" w:eastAsia="Times New Roman"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to two separate Dwelling</w:t>
                  </w:r>
                  <w:r w:rsidRPr="00606EA1">
                    <w:rPr>
                      <w:rFonts w:ascii="Arial" w:eastAsia="Times New Roman" w:hAnsi="Arial" w:cs="Arial"/>
                      <w:sz w:val="18"/>
                      <w:szCs w:val="20"/>
                      <w:vertAlign w:val="superscript"/>
                    </w:rPr>
                    <w:t>(</w:t>
                  </w:r>
                  <w:hyperlink r:id="rId3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eastAsia="Times New Roman" w:hAnsi="Arial" w:cs="Arial"/>
                        <w:color w:val="auto"/>
                        <w:sz w:val="18"/>
                        <w:szCs w:val="20"/>
                        <w:vertAlign w:val="superscript"/>
                      </w:rPr>
                      <w:t>22</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houses, at least one of which does not satisfy the requirements for accepted development applying to Dwelling houses.</w:t>
                  </w:r>
                </w:p>
                <w:p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Multiple dwelling</w:t>
                  </w:r>
                  <w:r w:rsidRPr="00606EA1">
                    <w:rPr>
                      <w:rFonts w:ascii="Arial" w:eastAsia="Times New Roman" w:hAnsi="Arial" w:cs="Arial"/>
                      <w:sz w:val="18"/>
                      <w:szCs w:val="20"/>
                      <w:vertAlign w:val="superscript"/>
                    </w:rPr>
                    <w:t>(</w:t>
                  </w:r>
                  <w:hyperlink r:id="rId37"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D94CCB" w:rsidRPr="00D94CCB" w:rsidTr="00606EA1">
              <w:trPr>
                <w:tblCellSpacing w:w="15" w:type="dxa"/>
              </w:trPr>
              <w:tc>
                <w:tcPr>
                  <w:tcW w:w="6523"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by Lease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divides land or buildings by lease in a way that allows separate occupation or use of those facilities is undertaken in a </w:t>
            </w:r>
            <w:r w:rsidRPr="00D94CCB">
              <w:rPr>
                <w:rFonts w:ascii="Arial" w:hAnsi="Arial" w:cs="Arial"/>
                <w:sz w:val="20"/>
                <w:szCs w:val="20"/>
              </w:rPr>
              <w:lastRenderedPageBreak/>
              <w:t>way that does not result in existing uses on the land becoming unlawful or otherwise operating in a manner that is:</w:t>
            </w:r>
          </w:p>
          <w:p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4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41"/>
            </w:tblGrid>
            <w:tr w:rsidR="00D94CCB" w:rsidRPr="00606EA1" w:rsidTr="00606EA1">
              <w:trPr>
                <w:tblCellSpacing w:w="15" w:type="dxa"/>
              </w:trPr>
              <w:tc>
                <w:tcPr>
                  <w:tcW w:w="6381"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An example of a land use becoming unlawful is a Multiple dwelling</w:t>
                  </w:r>
                  <w:r w:rsidRPr="00606EA1">
                    <w:rPr>
                      <w:rFonts w:ascii="Arial" w:eastAsia="Times New Roman" w:hAnsi="Arial" w:cs="Arial"/>
                      <w:sz w:val="18"/>
                      <w:szCs w:val="20"/>
                      <w:vertAlign w:val="superscript"/>
                    </w:rPr>
                    <w:t>(</w:t>
                  </w:r>
                  <w:hyperlink r:id="rId38"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606EA1">
                    <w:rPr>
                      <w:rFonts w:ascii="Arial" w:eastAsia="Times New Roman" w:hAnsi="Arial" w:cs="Arial"/>
                      <w:sz w:val="18"/>
                      <w:szCs w:val="20"/>
                    </w:rPr>
                    <w:t>are located in</w:t>
                  </w:r>
                  <w:proofErr w:type="gramEnd"/>
                  <w:r w:rsidRPr="00606EA1">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606EA1">
                    <w:rPr>
                      <w:rFonts w:ascii="Arial" w:eastAsia="Times New Roman" w:hAnsi="Arial" w:cs="Arial"/>
                      <w:sz w:val="18"/>
                      <w:szCs w:val="20"/>
                      <w:vertAlign w:val="superscript"/>
                    </w:rPr>
                    <w:t>(</w:t>
                  </w:r>
                  <w:hyperlink r:id="rId39"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w:t>
                  </w:r>
                </w:p>
              </w:tc>
            </w:tr>
            <w:tr w:rsidR="00D94CCB" w:rsidRPr="00606EA1" w:rsidTr="00606EA1">
              <w:trPr>
                <w:tblCellSpacing w:w="15" w:type="dxa"/>
              </w:trPr>
              <w:tc>
                <w:tcPr>
                  <w:tcW w:w="6381"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D94CCB" w:rsidRPr="00606EA1" w:rsidRDefault="00D94CCB" w:rsidP="00FB0803">
            <w:pPr>
              <w:rPr>
                <w:rFonts w:ascii="Arial" w:eastAsia="Times New Roman" w:hAnsi="Arial" w:cs="Arial"/>
                <w:vanish/>
                <w:sz w:val="18"/>
                <w:szCs w:val="20"/>
              </w:rPr>
            </w:pP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606EA1" w:rsidTr="00606EA1">
              <w:trPr>
                <w:tblCellSpacing w:w="15" w:type="dxa"/>
              </w:trPr>
              <w:tc>
                <w:tcPr>
                  <w:tcW w:w="6523"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Editor’s note – Under the definition in Schedule 2 of the Act, the following do not constitute reconfiguring a lot and are not subject to this performance outcome:</w:t>
                  </w:r>
                </w:p>
                <w:p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a lease for a term, including renewal options, not exceeding 10 years; and</w:t>
                  </w:r>
                </w:p>
                <w:p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 xml:space="preserve">an agreement for the exclusive use of part of the common property for a community titles scheme under the </w:t>
                  </w:r>
                  <w:r w:rsidRPr="00606EA1">
                    <w:rPr>
                      <w:rStyle w:val="Emphasis"/>
                      <w:rFonts w:ascii="Arial" w:eastAsia="Times New Roman" w:hAnsi="Arial" w:cs="Arial"/>
                      <w:sz w:val="18"/>
                      <w:szCs w:val="20"/>
                    </w:rPr>
                    <w:t>Body Corporate and Community Management Act 1997</w:t>
                  </w:r>
                  <w:r w:rsidRPr="00606EA1">
                    <w:rPr>
                      <w:rFonts w:ascii="Arial" w:eastAsia="Times New Roman" w:hAnsi="Arial" w:cs="Arial"/>
                      <w:sz w:val="18"/>
                      <w:szCs w:val="20"/>
                    </w:rPr>
                    <w:t>.</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Volumetric subdivision</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example may include but are not limited to:</w:t>
                  </w:r>
                </w:p>
                <w:p w:rsidR="00D94CCB" w:rsidRPr="00D94CCB" w:rsidRDefault="00D94CCB" w:rsidP="00505354">
                  <w:pPr>
                    <w:pStyle w:val="NormalWeb"/>
                    <w:numPr>
                      <w:ilvl w:val="0"/>
                      <w:numId w:val="23"/>
                    </w:numPr>
                    <w:rPr>
                      <w:rFonts w:ascii="Arial" w:hAnsi="Arial" w:cs="Arial"/>
                      <w:sz w:val="20"/>
                      <w:szCs w:val="20"/>
                    </w:rPr>
                  </w:pPr>
                  <w:r w:rsidRPr="00606EA1">
                    <w:rPr>
                      <w:rFonts w:ascii="Arial" w:hAnsi="Arial" w:cs="Arial"/>
                      <w:sz w:val="18"/>
                      <w:szCs w:val="20"/>
                    </w:rPr>
                    <w:lastRenderedPageBreak/>
                    <w:t>where a Dwelling house</w:t>
                  </w:r>
                  <w:r w:rsidRPr="00606EA1">
                    <w:rPr>
                      <w:rFonts w:ascii="Arial" w:hAnsi="Arial" w:cs="Arial"/>
                      <w:sz w:val="18"/>
                      <w:szCs w:val="20"/>
                      <w:vertAlign w:val="superscript"/>
                    </w:rPr>
                    <w:t>(</w:t>
                  </w:r>
                  <w:hyperlink r:id="rId4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Access Easement</w:t>
            </w:r>
          </w:p>
        </w:tc>
        <w:tc>
          <w:tcPr>
            <w:tcW w:w="541"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easements contain a driveway constructed to an appropriate standard for the intended use.</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works associated with the access.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ind w:left="29"/>
              <w:rPr>
                <w:rFonts w:ascii="Arial" w:hAnsi="Arial" w:cs="Arial"/>
                <w:sz w:val="20"/>
                <w:szCs w:val="20"/>
              </w:rPr>
            </w:pPr>
            <w:r w:rsidRPr="00D94CCB">
              <w:rPr>
                <w:rStyle w:val="Strong"/>
                <w:rFonts w:ascii="Arial" w:hAnsi="Arial" w:cs="Arial"/>
                <w:sz w:val="20"/>
                <w:szCs w:val="20"/>
              </w:rPr>
              <w:t>E35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driveway construction including cut and fill batters, drainage works and utility services.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ind w:left="29"/>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ind w:left="29"/>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PO36</w:t>
            </w:r>
          </w:p>
          <w:p w:rsidR="00D94CCB" w:rsidRPr="00D94CCB" w:rsidRDefault="00D94CCB" w:rsidP="00FB0803">
            <w:pPr>
              <w:pStyle w:val="NormalWeb"/>
              <w:ind w:left="25"/>
              <w:rPr>
                <w:rFonts w:ascii="Arial" w:hAnsi="Arial" w:cs="Arial"/>
                <w:sz w:val="20"/>
                <w:szCs w:val="20"/>
              </w:rPr>
            </w:pPr>
            <w:r w:rsidRPr="00D94CCB">
              <w:rPr>
                <w:rFonts w:ascii="Arial" w:hAnsi="Arial" w:cs="Arial"/>
                <w:sz w:val="20"/>
                <w:szCs w:val="20"/>
              </w:rPr>
              <w:t>Relocation or alteration of existing services are undertaken as a result of the access easement.</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 </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Utilities</w:t>
            </w:r>
          </w:p>
        </w:tc>
        <w:tc>
          <w:tcPr>
            <w:tcW w:w="541"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D94CCB" w:rsidRPr="00D94CCB" w:rsidRDefault="00D94CCB" w:rsidP="00FB0803">
            <w:pPr>
              <w:rPr>
                <w:rFonts w:ascii="Arial" w:eastAsia="Times New Roman" w:hAnsi="Arial" w:cs="Arial"/>
                <w:sz w:val="20"/>
                <w:szCs w:val="20"/>
              </w:rPr>
            </w:pPr>
          </w:p>
        </w:tc>
        <w:tc>
          <w:tcPr>
            <w:tcW w:w="1705"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6"/>
        <w:gridCol w:w="5288"/>
        <w:gridCol w:w="1837"/>
        <w:gridCol w:w="1611"/>
      </w:tblGrid>
      <w:tr w:rsidR="00D94CCB" w:rsidRPr="00D94CCB"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location and design</w:t>
            </w:r>
          </w:p>
        </w:tc>
        <w:tc>
          <w:tcPr>
            <w:tcW w:w="588"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Where development is for an urban purpose that involves a land 2500m</w:t>
            </w:r>
            <w:r w:rsidRPr="00D94CCB">
              <w:rPr>
                <w:rFonts w:ascii="Arial" w:hAnsi="Arial" w:cs="Arial"/>
                <w:sz w:val="20"/>
                <w:szCs w:val="20"/>
                <w:vertAlign w:val="superscript"/>
              </w:rPr>
              <w:t>2</w:t>
            </w:r>
            <w:r w:rsidRPr="00D94CCB">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A </w:t>
                  </w:r>
                  <w:proofErr w:type="gramStart"/>
                  <w:r w:rsidRPr="00606EA1">
                    <w:rPr>
                      <w:rFonts w:ascii="Arial" w:hAnsi="Arial" w:cs="Arial"/>
                      <w:sz w:val="18"/>
                      <w:szCs w:val="20"/>
                    </w:rPr>
                    <w:t>site based</w:t>
                  </w:r>
                  <w:proofErr w:type="gramEnd"/>
                  <w:r w:rsidRPr="00606EA1">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is designed and constructed to achieve Water Sensitive Urban Design best practice including:</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protection of existing natural features; </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integrating public open space with stormwater corridors or infrastructure;</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maintaining natural hydrologic behaviour of catchments and preserving the natural water cycle;</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protecting water quality environmental values of surface and ground waters;</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minimising capital and maintenance costs of stormwater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more information and examples on water sensitive urban design.</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A </w:t>
                  </w:r>
                  <w:proofErr w:type="gramStart"/>
                  <w:r w:rsidRPr="00606EA1">
                    <w:rPr>
                      <w:rFonts w:ascii="Arial" w:hAnsi="Arial" w:cs="Arial"/>
                      <w:sz w:val="18"/>
                      <w:szCs w:val="20"/>
                    </w:rPr>
                    <w:t>site based</w:t>
                  </w:r>
                  <w:proofErr w:type="gramEnd"/>
                  <w:r w:rsidRPr="00606EA1">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rHeight w:val="2160"/>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PO40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94CCB" w:rsidRPr="00D94CCB" w:rsidRDefault="00D94CCB" w:rsidP="00FB0803">
            <w:pPr>
              <w:spacing w:after="240"/>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31"/>
              <w:gridCol w:w="2531"/>
              <w:gridCol w:w="45"/>
            </w:tblGrid>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Minimum Easement Width (excluding access requirements)</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3.0m</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4.0m</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Easement boundary to be 1m clear of the outside wall of the stormwater pipe (each side). </w:t>
                  </w:r>
                </w:p>
              </w:tc>
            </w:tr>
            <w:tr w:rsidR="00D94CCB" w:rsidRPr="00606EA1"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Additional easement width may be required in certain circumstances in order to facilitate maintenance access to the stormwater system.</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68"/>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easement requirements over open channels.</w:t>
                  </w:r>
                </w:p>
              </w:tc>
            </w:tr>
          </w:tbl>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management facilities are located outside of riparian areas and prevent increased channel bed and bank erosion.</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Natural streams and riparian vegetation are retained and enhanced through revegetation.</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Areas constructed as detention basins: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adaptable for passive recreation;</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appear to be a natural land form;</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provide practical access for maintenance purposes;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do not create safety or security issues by creating potential concealment areas;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have adequate setbacks to adjoining properties;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located within land to be dedicated to Council as public land.</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Stormwater detention basins are designed and constructed in accordance with Planning scheme policy - Integrated design (Appendix C) and Planning scheme policy - Operational works inspection, maintenance and bonding procedures.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885"/>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the environmental values of waterway ecosystems.</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 constructed water body proposed to be dedicated as public asset is to be avoided, unless there is an overriding need in the public interest.</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are of a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grade to accommodate effective stormwater drainage to a lawful point of discharge.</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surface level of a lot is at a minimum grade of 1:100 and slopes towards the street frontage, or other lawful point of discharge.</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management system</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major drainage system has the capacity to safely convey stormwater flows for the defined flood event.</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roads, drainage pathways, drainage features and waterways safely convey the stormwater flows for the defined flood event without allowing flows to encroach upon private lots.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Overland flow paths (for any storm event) from newly constructed roads and public open space areas do not pass through private lots and allow safe and convenient access for pedestrians and cyclists.</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Drainage pathways are provided to accommodate overland flows from roads and public open space areas</w:t>
            </w:r>
            <w:r w:rsidRPr="00D94CCB">
              <w:rPr>
                <w:rStyle w:val="Emphasis"/>
                <w:rFonts w:ascii="Arial" w:hAnsi="Arial" w:cs="Arial"/>
                <w:sz w:val="20"/>
                <w:szCs w:val="20"/>
              </w:rPr>
              <w:t>. </w:t>
            </w:r>
            <w:r w:rsidRPr="00D94CCB">
              <w:rPr>
                <w:rFonts w:ascii="Arial" w:hAnsi="Arial" w:cs="Arial"/>
                <w:sz w:val="20"/>
                <w:szCs w:val="20"/>
              </w:rPr>
              <w:t xml:space="preserve">The overland flow paths have a minimum width of </w:t>
            </w:r>
            <w:r w:rsidRPr="00D94CCB">
              <w:rPr>
                <w:rFonts w:ascii="Arial" w:hAnsi="Arial" w:cs="Arial"/>
                <w:sz w:val="20"/>
                <w:szCs w:val="20"/>
              </w:rPr>
              <w:lastRenderedPageBreak/>
              <w:t>8m and are designed and constructed to allow safe and convenient access for pedestrians and cyclists.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drainage system is designed and constructed in accordance with Planning scheme policy - Integrated design.</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management system is designed to:</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the environmental values in downstream waterways;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ground water recharge areas;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preserve existing natural wetlands and associated buffers;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disturbing soils or sediments;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altering the natural hydrologic regime in acid sulfate soil and nutrient hazardous areas;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and improve receiving water quality;</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waterway configuration;</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wetlands and vegetation;</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downstream and adjacent properties;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and enhance riparian areas.</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construction of the stormwater management system:</w:t>
            </w:r>
          </w:p>
          <w:p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t>utilise methods and materials to minimise the whole of lifecycle costs of the stormwater management system; and</w:t>
            </w:r>
          </w:p>
          <w:p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lastRenderedPageBreak/>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Planning scheme policy - Integrated design for guidance on how to demonstrate achievement of this performance outcome.</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38"/>
        <w:gridCol w:w="5264"/>
        <w:gridCol w:w="1721"/>
        <w:gridCol w:w="2159"/>
      </w:tblGrid>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Native vegetation where not located in the Environmental areas overlay</w:t>
            </w:r>
          </w:p>
        </w:tc>
        <w:tc>
          <w:tcPr>
            <w:tcW w:w="55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facilitates the retention of native vegetation by:</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incorporating native vegetation and habitat trees into the overall subdivision design, development layout, on-street amenity and landscaping where practicable;</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providing safe, unimpeded, convenient and ongoing wildlife movement;</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avoiding creating fragmented and isolated patches of native vegetation.</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biodiversity quality and integrity of habitats is not adversely impacted upon but are maintained and protected;</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 </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Noise</w:t>
            </w:r>
          </w:p>
        </w:tc>
        <w:tc>
          <w:tcPr>
            <w:tcW w:w="55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Noise attenuation structure (e.g. walls, barriers or fences):</w:t>
            </w:r>
          </w:p>
          <w:p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contribute to safe and usable public spaces, through maintaining high levels of surveillance of parks, streets and roads that serve active transport purposes (e.g. existing or future pedestrian paths or cycle lanes etc);</w:t>
            </w:r>
          </w:p>
          <w:p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 the amenity of the streetscape.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rsidTr="00D94CCB">
              <w:trPr>
                <w:tblCellSpacing w:w="15" w:type="dxa"/>
              </w:trPr>
              <w:tc>
                <w:tcPr>
                  <w:tcW w:w="6244"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D94CCB" w:rsidRPr="00D94CCB" w:rsidTr="00D94CCB">
              <w:trPr>
                <w:tblCellSpacing w:w="15" w:type="dxa"/>
              </w:trPr>
              <w:tc>
                <w:tcPr>
                  <w:tcW w:w="6244"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Noise attenuation structures (e.g. walls, barriers or fences):</w:t>
            </w:r>
          </w:p>
          <w:p w:rsidR="00D94CCB" w:rsidRPr="00D94CCB" w:rsidRDefault="00D94CCB" w:rsidP="00505354">
            <w:pPr>
              <w:numPr>
                <w:ilvl w:val="0"/>
                <w:numId w:val="3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are not visible from an adjoining road or public area unless;</w:t>
            </w:r>
          </w:p>
          <w:p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a motorway or rail line; or</w:t>
            </w:r>
          </w:p>
          <w:p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do not remove existing or prevent future active transport routes or connections to the street network;</w:t>
            </w:r>
          </w:p>
          <w:p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are located, constructed and landscaped in accordance with Planning scheme policy - Integrated design.</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D94CCB"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r w:rsidR="00D94CCB" w:rsidRPr="00D94CCB"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Overlay map – Active transport for future active transport routes.</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863F1D" w:rsidRPr="00D94CCB"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63F1D" w:rsidRPr="00D94CCB" w:rsidRDefault="00863F1D" w:rsidP="00FB0803">
            <w:pPr>
              <w:pStyle w:val="NormalWeb"/>
              <w:jc w:val="center"/>
              <w:rPr>
                <w:rFonts w:ascii="Arial" w:hAnsi="Arial" w:cs="Arial"/>
                <w:sz w:val="20"/>
                <w:szCs w:val="20"/>
              </w:rPr>
            </w:pPr>
            <w:r w:rsidRPr="00D94CCB">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rsidTr="00D94CCB">
              <w:trPr>
                <w:tblCellSpacing w:w="15" w:type="dxa"/>
              </w:trPr>
              <w:tc>
                <w:tcPr>
                  <w:tcW w:w="14928" w:type="dxa"/>
                  <w:shd w:val="clear" w:color="auto" w:fill="CCCCCC"/>
                  <w:vAlign w:val="center"/>
                  <w:hideMark/>
                </w:tcPr>
                <w:p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63F1D" w:rsidRPr="00D94CCB" w:rsidRDefault="00863F1D" w:rsidP="00FB0803">
            <w:pPr>
              <w:pStyle w:val="NormalWeb"/>
              <w:jc w:val="center"/>
              <w:rPr>
                <w:rStyle w:val="Strong"/>
                <w:rFonts w:ascii="Arial" w:hAnsi="Arial" w:cs="Arial"/>
                <w:sz w:val="20"/>
                <w:szCs w:val="20"/>
              </w:rPr>
            </w:pPr>
          </w:p>
        </w:tc>
      </w:tr>
      <w:tr w:rsidR="00863F1D" w:rsidRPr="00D94CCB"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63F1D" w:rsidRPr="00D94CCB" w:rsidRDefault="00863F1D" w:rsidP="00FB0803">
            <w:pPr>
              <w:pStyle w:val="NormalWeb"/>
              <w:rPr>
                <w:rFonts w:ascii="Arial" w:hAnsi="Arial" w:cs="Arial"/>
                <w:sz w:val="20"/>
                <w:szCs w:val="20"/>
              </w:rPr>
            </w:pPr>
            <w:r w:rsidRPr="00D94CCB">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rsidTr="00D94CCB">
              <w:trPr>
                <w:tblCellSpacing w:w="15" w:type="dxa"/>
              </w:trPr>
              <w:tc>
                <w:tcPr>
                  <w:tcW w:w="14928" w:type="dxa"/>
                  <w:vAlign w:val="center"/>
                  <w:hideMark/>
                </w:tcPr>
                <w:p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863F1D" w:rsidRPr="00D94CCB" w:rsidRDefault="00863F1D"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lastRenderedPageBreak/>
              <w:t>minimise the risk from bushfire hazard to each lot and provide the safest possible siting for buildings and structures;</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limit the possible spread paths of bushfire within the reconfiguring;</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 xml:space="preserve">achieve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separation distance between development and hazardous vegetation to minimise the risk to future buildings and structures during bushfire events;</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maintain the required level of functionality for emergency services and uses during and immediately after a natural hazard event.</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Reconfiguring a lot ensures that all new lots are of an appropriate size, shape and layout to allow for the siting of future buildings being located:</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an appropriate development footprint;</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the lowest hazard locations on a lot;</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ridgelines and hilltops;</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on land with a slope of less than 15%;</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north to west facing slopes.</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adequate water supply and infrastructure to support fire-fighting.</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For water supply purposes, reconfiguring a lot ensures that:</w:t>
            </w:r>
          </w:p>
          <w:p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 xml:space="preserve">lots have access to a reticulated water </w:t>
            </w:r>
            <w:proofErr w:type="gramStart"/>
            <w:r w:rsidRPr="00D94CCB">
              <w:rPr>
                <w:rFonts w:ascii="Arial" w:hAnsi="Arial" w:cs="Arial"/>
                <w:sz w:val="20"/>
                <w:szCs w:val="20"/>
              </w:rPr>
              <w:t>supply  provided</w:t>
            </w:r>
            <w:proofErr w:type="gramEnd"/>
            <w:r w:rsidRPr="00D94CCB">
              <w:rPr>
                <w:rFonts w:ascii="Arial" w:hAnsi="Arial" w:cs="Arial"/>
                <w:sz w:val="20"/>
                <w:szCs w:val="20"/>
              </w:rPr>
              <w:t xml:space="preserve"> by a distributer retailer for the area; or</w:t>
            </w:r>
          </w:p>
          <w:p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where no reticulated water supply is available, on-site fire fighting water storage containing not less than 10000 litres and located within a development footprint.</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designed to achieve:</w:t>
            </w:r>
          </w:p>
          <w:p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safe site access by avoiding potential entrapment situations;</w:t>
            </w:r>
          </w:p>
          <w:p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accessibility and manoeuvring for fire-fighting during bushfire.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Reconfiguring a lot ensures a new lot is provided with:</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direct road access and egress to public roads;</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an alternative access where the private driveway is longer than 100m to reach a public road;</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driveway access to a public road that has a gradient no greater than 12.5%;</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minimum width of 3.5m.</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The road layout and design </w:t>
            </w:r>
            <w:proofErr w:type="gramStart"/>
            <w:r w:rsidRPr="00D94CCB">
              <w:rPr>
                <w:rFonts w:ascii="Arial" w:hAnsi="Arial" w:cs="Arial"/>
                <w:sz w:val="20"/>
                <w:szCs w:val="20"/>
              </w:rPr>
              <w:t>supports</w:t>
            </w:r>
            <w:proofErr w:type="gramEnd"/>
            <w:r w:rsidRPr="00D94CCB">
              <w:rPr>
                <w:rFonts w:ascii="Arial" w:hAnsi="Arial" w:cs="Arial"/>
                <w:sz w:val="20"/>
                <w:szCs w:val="20"/>
              </w:rPr>
              <w:t>:</w:t>
            </w:r>
          </w:p>
          <w:p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safe and efficient emergency services access to all lots; and manoeuvring within the subdivision;</w:t>
            </w:r>
          </w:p>
          <w:p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availability and maintenance of access routes for the purpose of safe evacuation.</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provides a road layout which:</w:t>
            </w:r>
          </w:p>
          <w:p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includes a perimeter road that separating the new lots from hazardous vegetation on adjacent lots incorporating by:</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a cleared width of 20m;</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road gradients not exceeding 12.5%;</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pavement and surface treatment capable of being used by emergency vehicles;</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 xml:space="preserve">Turning areas for </w:t>
            </w:r>
            <w:proofErr w:type="spellStart"/>
            <w:r w:rsidRPr="00D94CCB">
              <w:rPr>
                <w:rFonts w:ascii="Arial" w:hAnsi="Arial" w:cs="Arial"/>
                <w:sz w:val="20"/>
                <w:szCs w:val="20"/>
              </w:rPr>
              <w:t>fire fighting</w:t>
            </w:r>
            <w:proofErr w:type="spellEnd"/>
            <w:r w:rsidRPr="00D94CCB">
              <w:rPr>
                <w:rFonts w:ascii="Arial" w:hAnsi="Arial" w:cs="Arial"/>
                <w:sz w:val="20"/>
                <w:szCs w:val="20"/>
              </w:rPr>
              <w:t xml:space="preserve"> appliances in accordance with Qld Fire and Emergency Services' Fire Hydrant and Vehicle Access Guidelines.</w:t>
            </w:r>
          </w:p>
          <w:p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Or if the above is not practicable, a fire maintenance trail separates the lots from hazardous vegetation on adjacent lots incorporating:</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minimum cleared width of 6m and minimum formed width of 4m;</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gradient not exceeding 12.5%;</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cross slope not exceeding 10%;</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formed width and erosion control devices to the standards specified in Planning scheme policy - Integrated design;</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lastRenderedPageBreak/>
              <w:t>a turning circle or turnaround area at the end of the trail to allow fire fighting vehicles to manoeuvre;</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passing bays and turning/reversing bays every 200m;</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 an access easement that is granted in favour of the Council and the Queensland Fire and Rescue Service or located on public land.</w:t>
            </w:r>
          </w:p>
          <w:p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cul-de-sacs, except where a perimeter road with a cleared width of 20m isolates the lots from hazardous vegetation on adjacent lots; and</w:t>
            </w:r>
          </w:p>
          <w:p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dead-end roads.</w:t>
            </w:r>
          </w:p>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p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br/>
                  </w:r>
                </w:p>
                <w:p w:rsidR="00505354" w:rsidRPr="00D94CCB" w:rsidRDefault="00505354" w:rsidP="00FB0803">
                  <w:pPr>
                    <w:pStyle w:val="NormalWeb"/>
                    <w:rPr>
                      <w:rFonts w:ascii="Arial" w:hAnsi="Arial" w:cs="Arial"/>
                      <w:sz w:val="20"/>
                      <w:szCs w:val="20"/>
                    </w:rPr>
                  </w:pPr>
                  <w:r w:rsidRPr="00D94CCB">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boundaries are located within 2m of High Value Areas.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 the extent of encroachment into the MLES waterway buffer or a MLES wetland buffer;</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ensure quality and integrity of biodiversity and ecological values is not adversely impacted upon but are maintained and protected;</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incorporate native vegetation and habitat trees into the overall subdivision design, development layout, on-street amenity and landscaping where practicable;</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provide safe, unimpeded, convenient and ongoing wildlife movement;</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 creating fragmented and isolated patches of native vegetation;</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AND</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 no additional lots are created within a Value Offset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102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 xml:space="preserve">Extractive resources transport route </w:t>
            </w:r>
            <w:proofErr w:type="gramStart"/>
            <w:r w:rsidRPr="00D94CCB">
              <w:rPr>
                <w:rStyle w:val="Strong"/>
                <w:rFonts w:ascii="Arial" w:hAnsi="Arial" w:cs="Arial"/>
                <w:sz w:val="20"/>
                <w:szCs w:val="20"/>
              </w:rPr>
              <w:t>buffer(</w:t>
            </w:r>
            <w:proofErr w:type="gramEnd"/>
            <w:r w:rsidRPr="00D94CCB">
              <w:rPr>
                <w:rStyle w:val="Strong"/>
                <w:rFonts w:ascii="Arial" w:hAnsi="Arial" w:cs="Arial"/>
                <w:sz w:val="20"/>
                <w:szCs w:val="20"/>
              </w:rPr>
              <w:t>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 xml:space="preserve">Note - The identification of a development </w:t>
                  </w:r>
                  <w:proofErr w:type="gramStart"/>
                  <w:r w:rsidRPr="00D94CCB">
                    <w:rPr>
                      <w:rFonts w:ascii="Arial" w:hAnsi="Arial" w:cs="Arial"/>
                      <w:sz w:val="20"/>
                      <w:szCs w:val="20"/>
                    </w:rPr>
                    <w:t>footprint  will</w:t>
                  </w:r>
                  <w:proofErr w:type="gramEnd"/>
                  <w:r w:rsidRPr="00D94CCB">
                    <w:rPr>
                      <w:rFonts w:ascii="Arial" w:hAnsi="Arial" w:cs="Arial"/>
                      <w:sz w:val="20"/>
                      <w:szCs w:val="20"/>
                    </w:rPr>
                    <w:t xml:space="preserve">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to a new lot is not from an identified extractive industry transportation route, but to an alternative public road.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 xml:space="preserve">Extractive resources separation </w:t>
            </w:r>
            <w:proofErr w:type="gramStart"/>
            <w:r w:rsidRPr="00D94CCB">
              <w:rPr>
                <w:rStyle w:val="Strong"/>
                <w:rFonts w:ascii="Arial" w:hAnsi="Arial" w:cs="Arial"/>
                <w:sz w:val="20"/>
                <w:szCs w:val="20"/>
              </w:rPr>
              <w:t>area(</w:t>
            </w:r>
            <w:proofErr w:type="gramEnd"/>
            <w:r w:rsidRPr="00D94CCB">
              <w:rPr>
                <w:rStyle w:val="Strong"/>
                <w:rFonts w:ascii="Arial" w:hAnsi="Arial" w:cs="Arial"/>
                <w:sz w:val="20"/>
                <w:szCs w:val="20"/>
              </w:rPr>
              <w:t>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provide a development footprint outside of the separation area.</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do not: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reduce public access to a heritage place, building, item or object;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create the potential to adversely affect views to and from the heritage place, building, item or object;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retains significant trees and incorporates them into the subdivision design, development layout and provision of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Bulk water supply infrastructure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Reconfiguration of lots does not compromise or adversely impact upon the efficiency and integrity of Bulk water supply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of lots ensures that access requirements of Bulk water supply infrastructure are maintained.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Bulk water supply infrastructure traversing or within private land are protected by easement in favour of the service provider for access and maintenance.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within a Bulk water supply infrastructure buffer:</w:t>
            </w:r>
          </w:p>
          <w:p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is located, designed and constructed to protect the integrity of the water supply pipeline;</w:t>
            </w:r>
          </w:p>
          <w:p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maintains adequate access for any required maintenance or upgrading work to the water supply pipeline.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the Bulk water supply infrastructure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High voltage electricity line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lots does not compromise or adversely impact upon the efficiency and integrity of supply.</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new lots does not compromise or adversely impact upon access to the supply line for any required maintenance or upgrading work.</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1860"/>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PO72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result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Landfill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results in the reduction of building development opportunities within the buffer.</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rPr>
                <w:rFonts w:ascii="Arial" w:eastAsia="Times New Roman" w:hAnsi="Arial" w:cs="Arial"/>
                <w:sz w:val="20"/>
                <w:szCs w:val="20"/>
              </w:rPr>
            </w:pPr>
            <w:r w:rsidRPr="00D94CCB">
              <w:rPr>
                <w:rStyle w:val="Strong"/>
                <w:rFonts w:ascii="Arial" w:eastAsia="Times New Roman" w:hAnsi="Arial" w:cs="Arial"/>
                <w:sz w:val="20"/>
                <w:szCs w:val="20"/>
              </w:rPr>
              <w:t>Wastewater treatment site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Style w:val="Strong"/>
                <w:rFonts w:ascii="Arial" w:eastAsia="Times New Roman"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Style w:val="Strong"/>
                <w:rFonts w:ascii="Arial" w:eastAsia="Times New Roman"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lastRenderedPageBreak/>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ensure that:</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 xml:space="preserve">future building location </w:t>
            </w:r>
            <w:proofErr w:type="gramStart"/>
            <w:r w:rsidRPr="00D94CCB">
              <w:rPr>
                <w:rFonts w:ascii="Arial" w:hAnsi="Arial" w:cs="Arial"/>
                <w:sz w:val="20"/>
                <w:szCs w:val="20"/>
              </w:rPr>
              <w:t>is located in</w:t>
            </w:r>
            <w:proofErr w:type="gramEnd"/>
            <w:r w:rsidRPr="00D94CCB">
              <w:rPr>
                <w:rFonts w:ascii="Arial" w:hAnsi="Arial" w:cs="Arial"/>
                <w:sz w:val="20"/>
                <w:szCs w:val="20"/>
              </w:rPr>
              <w:t xml:space="preserve"> part of a site not subject to landslide risk;</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 need for excessive on-site works, change to finished landform, or excessive vegetation clearance to provide for future development is avoided;</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there is minimal disturbance to natural drainage patterns; and</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earthworks do not:</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cut and filling having a height greater than 1.5m;</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any retaining wall having a height greater than 1.5m;</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earthworks exceeding 50m</w:t>
            </w:r>
            <w:r w:rsidRPr="00D94CCB">
              <w:rPr>
                <w:rFonts w:ascii="Arial" w:hAnsi="Arial" w:cs="Arial"/>
                <w:sz w:val="20"/>
                <w:szCs w:val="20"/>
                <w:vertAlign w:val="superscript"/>
              </w:rPr>
              <w:t>3</w:t>
            </w:r>
            <w:r w:rsidRPr="00D94CCB">
              <w:rPr>
                <w:rFonts w:ascii="Arial" w:hAnsi="Arial" w:cs="Arial"/>
                <w:sz w:val="20"/>
                <w:szCs w:val="20"/>
              </w:rPr>
              <w:t>;</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redirect or alter the existing flows of surface or groundwater.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provides a development </w:t>
            </w:r>
            <w:proofErr w:type="gramStart"/>
            <w:r w:rsidRPr="00D94CCB">
              <w:rPr>
                <w:rFonts w:ascii="Arial" w:hAnsi="Arial" w:cs="Arial"/>
                <w:sz w:val="20"/>
                <w:szCs w:val="20"/>
              </w:rPr>
              <w:t>footprint  free</w:t>
            </w:r>
            <w:proofErr w:type="gramEnd"/>
            <w:r w:rsidRPr="00D94CCB">
              <w:rPr>
                <w:rFonts w:ascii="Arial" w:hAnsi="Arial" w:cs="Arial"/>
                <w:sz w:val="20"/>
                <w:szCs w:val="20"/>
              </w:rPr>
              <w:t xml:space="preserve"> from risk of landslide.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footprints and driveways for lots does not exceed 15% slope.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minimises the risk to persons from overland flow;</w:t>
            </w:r>
          </w:p>
          <w:p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does not increase the potential for damage from overland flow either on the premises or on a surrounding property, public land, road or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maintains the conveyance of overland flow predominantly unimpeded through the premises for any event up to and including the 1% AEP for the fully developed upstream catchment;</w:t>
            </w:r>
          </w:p>
          <w:p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rsidTr="00D94CCB">
              <w:trPr>
                <w:tblCellSpacing w:w="15" w:type="dxa"/>
              </w:trPr>
              <w:tc>
                <w:tcPr>
                  <w:tcW w:w="7398"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any buildings are not located in an Overland flow path area.</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606EA1"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does not:</w:t>
            </w:r>
          </w:p>
          <w:p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directly, indirectly or cumulatively cause any increase in overland flow velocity or level;</w:t>
            </w:r>
          </w:p>
          <w:p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increase the potential for flood damage from overland flow either on the premises or on a surrounding property, public land, road or infrastructure.</w:t>
            </w:r>
          </w:p>
          <w:tbl>
            <w:tblPr>
              <w:tblW w:w="61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57"/>
            </w:tblGrid>
            <w:tr w:rsidR="00D94CCB" w:rsidRPr="00606EA1" w:rsidTr="00606EA1">
              <w:trPr>
                <w:tblCellSpacing w:w="15" w:type="dxa"/>
              </w:trPr>
              <w:tc>
                <w:tcPr>
                  <w:tcW w:w="6097"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Open concrete drains greater than 1m in width are not an acceptable outcome, nor are any other design options that may increase scouring.</w:t>
                  </w:r>
                </w:p>
              </w:tc>
            </w:tr>
            <w:tr w:rsidR="00D94CCB" w:rsidRPr="00606EA1" w:rsidTr="00606EA1">
              <w:trPr>
                <w:tblCellSpacing w:w="15" w:type="dxa"/>
              </w:trPr>
              <w:tc>
                <w:tcPr>
                  <w:tcW w:w="6097"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606EA1">
                    <w:rPr>
                      <w:rFonts w:ascii="Arial" w:eastAsia="Times New Roman" w:hAnsi="Arial" w:cs="Arial"/>
                      <w:sz w:val="18"/>
                      <w:szCs w:val="20"/>
                    </w:rPr>
                    <w:t>upstream, downstream or surrounding premises</w:t>
                  </w:r>
                  <w:proofErr w:type="gramEnd"/>
                  <w:r w:rsidRPr="00606EA1">
                    <w:rPr>
                      <w:rFonts w:ascii="Arial" w:eastAsia="Times New Roman" w:hAnsi="Arial" w:cs="Arial"/>
                      <w:sz w:val="18"/>
                      <w:szCs w:val="20"/>
                    </w:rPr>
                    <w:t>.</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606EA1"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rHeight w:val="1530"/>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is not conveyed from a road or public open space onto a private lot, unless the development is in a Rural zone.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D94CCB">
              <w:rPr>
                <w:rFonts w:ascii="Arial" w:hAnsi="Arial" w:cs="Arial"/>
                <w:sz w:val="20"/>
                <w:szCs w:val="20"/>
              </w:rPr>
              <w:t>are able to</w:t>
            </w:r>
            <w:proofErr w:type="gramEnd"/>
            <w:r w:rsidRPr="00D94CCB">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606EA1">
                    <w:rPr>
                      <w:rFonts w:ascii="Arial" w:eastAsia="Times New Roman" w:hAnsi="Arial" w:cs="Arial"/>
                      <w:sz w:val="18"/>
                      <w:szCs w:val="20"/>
                    </w:rPr>
                    <w:t>upstream, downstream or surrounding premises</w:t>
                  </w:r>
                  <w:proofErr w:type="gramEnd"/>
                  <w:r w:rsidRPr="00606EA1">
                    <w:rPr>
                      <w:rFonts w:ascii="Arial" w:eastAsia="Times New Roman" w:hAnsi="Arial" w:cs="Arial"/>
                      <w:sz w:val="18"/>
                      <w:szCs w:val="20"/>
                    </w:rPr>
                    <w:t>.</w:t>
                  </w:r>
                </w:p>
              </w:tc>
            </w:tr>
            <w:tr w:rsidR="00D94CCB" w:rsidRPr="00D94CCB"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roof and allotment drainage infrastructure is provided in accordance with the following relevant level as identified in QUDM:</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Urban area – Level III;</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Rural area – N/A;</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Industrial area – Level V;</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Commercial area – Level V.</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protects the conveyance of overland flow such that easements for drainage purposes are provided over:</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 stormwater pipe if the nominal pipe diameter exceeds 300mm;</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an overland flow path where it crosses more than one property; and</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inter-allotment drainage infrastructure.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rsidTr="00D94CCB">
              <w:trPr>
                <w:tblCellSpacing w:w="15" w:type="dxa"/>
              </w:trPr>
              <w:tc>
                <w:tcPr>
                  <w:tcW w:w="6244" w:type="dxa"/>
                  <w:vAlign w:val="center"/>
                  <w:hideMark/>
                </w:tcPr>
                <w:p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t>Note - Refer to Planning scheme policy - Integrated design for details and examples.</w:t>
                  </w:r>
                </w:p>
              </w:tc>
            </w:tr>
            <w:tr w:rsidR="00D94CCB" w:rsidRPr="00D94CCB" w:rsidTr="00D94CCB">
              <w:trPr>
                <w:tblCellSpacing w:w="15" w:type="dxa"/>
              </w:trPr>
              <w:tc>
                <w:tcPr>
                  <w:tcW w:w="6244" w:type="dxa"/>
                  <w:vAlign w:val="center"/>
                  <w:hideMark/>
                </w:tcPr>
                <w:p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lastRenderedPageBreak/>
                    <w:t>Note - Stormwater drainage easement dimensions are provided in accordance with Section 3.8.5 of QUDM.</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Additional criteria for development for a Park</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that the design and layout responds to the nature of the overland flow affecting the premises such that:</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 xml:space="preserve">public benefit and enjoyment </w:t>
            </w:r>
            <w:proofErr w:type="gramStart"/>
            <w:r w:rsidRPr="00D94CCB">
              <w:rPr>
                <w:rFonts w:ascii="Arial" w:hAnsi="Arial" w:cs="Arial"/>
                <w:sz w:val="20"/>
                <w:szCs w:val="20"/>
              </w:rPr>
              <w:t>is</w:t>
            </w:r>
            <w:proofErr w:type="gramEnd"/>
            <w:r w:rsidRPr="00D94CCB">
              <w:rPr>
                <w:rFonts w:ascii="Arial" w:hAnsi="Arial" w:cs="Arial"/>
                <w:sz w:val="20"/>
                <w:szCs w:val="20"/>
              </w:rPr>
              <w:t xml:space="preserve"> maximised;</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impacts on the asset life and integrity of park structures is minimised;</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maintenance and replacement costs are minimised.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works are provided in accordance with the requirements set out in Appendix B of the Planning scheme policy - Integrated Design.</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t>Note - W1, W2 and W3 waterway and drainage lines, and wetlands are mapped on Schedule 2, Section 2.5 Overlay Maps – Riparian and wetland setbacks.</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the extent of encroachment into the riparian and wetland setback;</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the protection of wildlife corridors and connectivity;</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reduce the impact on fauna habitats;</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edge effects;</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an appropriate extent of public access to waterways and wetlands.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w:t>
            </w:r>
          </w:p>
          <w:p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no new lots are created within a riparian and wetland setback;</w:t>
            </w:r>
          </w:p>
          <w:p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4"/>
            </w:tblGrid>
            <w:tr w:rsidR="00D94CCB" w:rsidRPr="00D94CCB" w:rsidTr="00D94CCB">
              <w:trPr>
                <w:tblCellSpacing w:w="15" w:type="dxa"/>
              </w:trPr>
              <w:tc>
                <w:tcPr>
                  <w:tcW w:w="7350" w:type="dxa"/>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Riparian and wetlands are mapped on Schedule 2, Section 2.5 Overlay Maps – Riparian and wetland setbacks.</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sited, designed and oriented to:</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existing trees and land cover including the preservation of ridgeline vegetation and coastal trees;</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highly natural and vegetated areas and natural landforms by minimising the use of cut and fill;</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buildings and structures are not located on a hill top or ridgeline;</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roads, driveways and accessways go across land contours, and do not cut straight up slopes and follow natural contours, not resulting in batters or retaining walls being greater than 1.5m in height.</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Default="00A20125" w:rsidP="00A20125">
      <w:pPr>
        <w:pStyle w:val="NormalWeb"/>
        <w:jc w:val="center"/>
        <w:rPr>
          <w:rStyle w:val="Strong"/>
          <w:rFonts w:ascii="Arial" w:hAnsi="Arial" w:cs="Arial"/>
          <w:sz w:val="20"/>
          <w:szCs w:val="20"/>
        </w:rPr>
      </w:pPr>
      <w:r w:rsidRPr="00D94CCB">
        <w:rPr>
          <w:rStyle w:val="Strong"/>
          <w:rFonts w:ascii="Arial" w:hAnsi="Arial" w:cs="Arial"/>
          <w:sz w:val="20"/>
          <w:szCs w:val="20"/>
        </w:rPr>
        <w:t>Movement network figures</w:t>
      </w:r>
    </w:p>
    <w:p w:rsidR="00606EA1" w:rsidRDefault="00606EA1" w:rsidP="00A20125">
      <w:pPr>
        <w:pStyle w:val="NormalWeb"/>
        <w:jc w:val="center"/>
        <w:rPr>
          <w:rStyle w:val="Strong"/>
          <w:rFonts w:ascii="Arial" w:hAnsi="Arial" w:cs="Arial"/>
          <w:sz w:val="20"/>
          <w:szCs w:val="20"/>
        </w:rPr>
      </w:pPr>
      <w:r w:rsidRPr="00606EA1">
        <w:rPr>
          <w:rFonts w:ascii="Arial" w:hAnsi="Arial" w:cs="Arial"/>
          <w:b/>
          <w:bCs/>
          <w:sz w:val="20"/>
          <w:szCs w:val="20"/>
        </w:rPr>
        <w:t>Figure 1 - Elimbah - Beerburrum Road</w:t>
      </w:r>
    </w:p>
    <w:p w:rsidR="00D94CCB" w:rsidRDefault="00606EA1" w:rsidP="00A20125">
      <w:pPr>
        <w:pStyle w:val="NormalWeb"/>
        <w:jc w:val="center"/>
        <w:rPr>
          <w:rStyle w:val="Strong"/>
          <w:rFonts w:ascii="Arial" w:hAnsi="Arial" w:cs="Arial"/>
          <w:sz w:val="20"/>
          <w:szCs w:val="20"/>
        </w:rPr>
      </w:pPr>
      <w:r w:rsidRPr="00606EA1">
        <w:rPr>
          <w:rStyle w:val="Strong"/>
          <w:b w:val="0"/>
          <w:bCs w:val="0"/>
          <w:noProof/>
        </w:rPr>
        <w:drawing>
          <wp:inline distT="0" distB="0" distL="0" distR="0">
            <wp:extent cx="6533290" cy="297172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4221" cy="2999439"/>
                    </a:xfrm>
                    <a:prstGeom prst="rect">
                      <a:avLst/>
                    </a:prstGeom>
                    <a:noFill/>
                    <a:ln>
                      <a:noFill/>
                    </a:ln>
                  </pic:spPr>
                </pic:pic>
              </a:graphicData>
            </a:graphic>
          </wp:inline>
        </w:drawing>
      </w: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2 - Bellmere - Guilford Court</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8075718" cy="3574756"/>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87279" cy="3579873"/>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3 - Narangba - Youngs Road / Oakey Flat Road</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7409503" cy="36774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31804" cy="3688525"/>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4 - Dakabin</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9191311" cy="524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92451" cy="5245751"/>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5 - Mango Hill - Johns Road</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9404350" cy="4457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04350" cy="4457700"/>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Pr="00606EA1" w:rsidRDefault="00606EA1" w:rsidP="00606EA1">
      <w:pPr>
        <w:pStyle w:val="NormalWeb"/>
        <w:jc w:val="center"/>
        <w:rPr>
          <w:rFonts w:ascii="Arial" w:hAnsi="Arial" w:cs="Arial"/>
          <w:b/>
          <w:bCs/>
          <w:sz w:val="20"/>
          <w:szCs w:val="20"/>
        </w:rPr>
      </w:pPr>
      <w:r w:rsidRPr="00606EA1">
        <w:rPr>
          <w:rFonts w:ascii="Arial" w:hAnsi="Arial" w:cs="Arial"/>
          <w:b/>
          <w:bCs/>
          <w:sz w:val="20"/>
          <w:szCs w:val="20"/>
        </w:rPr>
        <w:lastRenderedPageBreak/>
        <w:t>Figure 6 - Lawnton - Akers Road / Isis Road</w:t>
      </w:r>
    </w:p>
    <w:p w:rsidR="00606EA1" w:rsidRDefault="00606EA1" w:rsidP="00606EA1">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extent cx="4891664" cy="58356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7001" cy="5842017"/>
                    </a:xfrm>
                    <a:prstGeom prst="rect">
                      <a:avLst/>
                    </a:prstGeom>
                    <a:noFill/>
                    <a:ln>
                      <a:noFill/>
                    </a:ln>
                  </pic:spPr>
                </pic:pic>
              </a:graphicData>
            </a:graphic>
          </wp:inline>
        </w:drawing>
      </w:r>
    </w:p>
    <w:p w:rsidR="00543AEE" w:rsidRP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7 - Albany Creek - Morgan Road</w:t>
      </w:r>
    </w:p>
    <w:p w:rsidR="00543AEE" w:rsidRDefault="00543AEE" w:rsidP="00543AEE">
      <w:pPr>
        <w:pStyle w:val="NormalWeb"/>
        <w:jc w:val="center"/>
        <w:rPr>
          <w:rStyle w:val="Strong"/>
          <w:rFonts w:ascii="Arial" w:hAnsi="Arial" w:cs="Arial"/>
          <w:sz w:val="20"/>
          <w:szCs w:val="20"/>
        </w:rPr>
      </w:pPr>
      <w:r w:rsidRPr="00543AEE">
        <w:rPr>
          <w:rStyle w:val="Strong"/>
          <w:b w:val="0"/>
          <w:bCs w:val="0"/>
          <w:noProof/>
        </w:rPr>
        <w:drawing>
          <wp:inline distT="0" distB="0" distL="0" distR="0">
            <wp:extent cx="9777730" cy="4451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4451350"/>
                    </a:xfrm>
                    <a:prstGeom prst="rect">
                      <a:avLst/>
                    </a:prstGeom>
                    <a:noFill/>
                    <a:ln>
                      <a:noFill/>
                    </a:ln>
                  </pic:spPr>
                </pic:pic>
              </a:graphicData>
            </a:graphic>
          </wp:inline>
        </w:drawing>
      </w: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8 - Deception Bay - Bailey Road / Park Road</w:t>
      </w:r>
    </w:p>
    <w:p w:rsidR="00543AEE" w:rsidRDefault="00543AEE" w:rsidP="00543AEE">
      <w:pPr>
        <w:pStyle w:val="NormalWeb"/>
        <w:jc w:val="center"/>
        <w:rPr>
          <w:rStyle w:val="Strong"/>
          <w:rFonts w:ascii="Arial" w:hAnsi="Arial" w:cs="Arial"/>
          <w:sz w:val="20"/>
          <w:szCs w:val="20"/>
        </w:rPr>
      </w:pPr>
      <w:r w:rsidRPr="00543AEE">
        <w:rPr>
          <w:rStyle w:val="Strong"/>
          <w:b w:val="0"/>
          <w:bCs w:val="0"/>
          <w:noProof/>
        </w:rPr>
        <w:drawing>
          <wp:inline distT="0" distB="0" distL="0" distR="0">
            <wp:extent cx="9777730" cy="466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9 - Rothwell - Whitlock Drive</w:t>
      </w:r>
    </w:p>
    <w:p w:rsidR="00543AEE" w:rsidRDefault="00543AEE" w:rsidP="00543AEE">
      <w:pPr>
        <w:pStyle w:val="NormalWeb"/>
        <w:jc w:val="center"/>
        <w:rPr>
          <w:rStyle w:val="Strong"/>
          <w:rFonts w:ascii="Arial" w:hAnsi="Arial" w:cs="Arial"/>
          <w:sz w:val="20"/>
          <w:szCs w:val="20"/>
        </w:rPr>
      </w:pPr>
      <w:r w:rsidRPr="00543AEE">
        <w:rPr>
          <w:rStyle w:val="Strong"/>
          <w:rFonts w:ascii="Arial" w:hAnsi="Arial" w:cs="Arial"/>
          <w:noProof/>
          <w:sz w:val="20"/>
          <w:szCs w:val="20"/>
        </w:rPr>
        <w:drawing>
          <wp:inline distT="0" distB="0" distL="0" distR="0">
            <wp:extent cx="9251950" cy="4286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950" cy="4286250"/>
                    </a:xfrm>
                    <a:prstGeom prst="rect">
                      <a:avLst/>
                    </a:prstGeom>
                    <a:noFill/>
                    <a:ln>
                      <a:noFill/>
                    </a:ln>
                  </pic:spPr>
                </pic:pic>
              </a:graphicData>
            </a:graphic>
          </wp:inline>
        </w:drawing>
      </w:r>
    </w:p>
    <w:sectPr w:rsidR="00543AEE" w:rsidSect="00A20125">
      <w:footerReference w:type="default" r:id="rId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DB3" w:rsidRDefault="00C13DB3" w:rsidP="00FB0803">
      <w:r>
        <w:separator/>
      </w:r>
    </w:p>
  </w:endnote>
  <w:endnote w:type="continuationSeparator" w:id="0">
    <w:p w:rsidR="00C13DB3" w:rsidRDefault="00C13DB3" w:rsidP="00FB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803" w:rsidRPr="0059063D" w:rsidRDefault="00FB0803" w:rsidP="00FB0803">
    <w:pPr>
      <w:pStyle w:val="Footer"/>
      <w:rPr>
        <w:rFonts w:ascii="Arial" w:hAnsi="Arial" w:cs="Arial"/>
        <w:i/>
        <w:sz w:val="22"/>
        <w:szCs w:val="22"/>
      </w:rPr>
    </w:pPr>
    <w:r w:rsidRPr="0059063D">
      <w:rPr>
        <w:rFonts w:ascii="Arial" w:hAnsi="Arial" w:cs="Arial"/>
        <w:sz w:val="22"/>
        <w:szCs w:val="22"/>
      </w:rPr>
      <w:t>MBRC Planning Scheme V</w:t>
    </w:r>
    <w:r w:rsidR="00082157">
      <w:rPr>
        <w:rFonts w:ascii="Arial" w:hAnsi="Arial" w:cs="Arial"/>
        <w:sz w:val="22"/>
        <w:szCs w:val="22"/>
      </w:rPr>
      <w:t>ersion 6</w:t>
    </w:r>
    <w:r w:rsidRPr="0059063D">
      <w:rPr>
        <w:rFonts w:ascii="Arial" w:hAnsi="Arial" w:cs="Arial"/>
        <w:sz w:val="22"/>
        <w:szCs w:val="22"/>
      </w:rPr>
      <w:t xml:space="preserve"> - RAL - General residential zone - Suburban Neighbourhood precinct - Assessable </w:t>
    </w:r>
    <w:r w:rsidRPr="0059063D">
      <w:rPr>
        <w:rFonts w:ascii="Arial" w:hAnsi="Arial" w:cs="Arial"/>
        <w:sz w:val="22"/>
        <w:szCs w:val="22"/>
      </w:rPr>
      <w:tab/>
    </w:r>
    <w:r w:rsidRPr="0059063D">
      <w:rPr>
        <w:rFonts w:ascii="Arial" w:hAnsi="Arial" w:cs="Arial"/>
        <w:i/>
        <w:sz w:val="22"/>
        <w:szCs w:val="22"/>
      </w:rPr>
      <w:tab/>
    </w:r>
    <w:sdt>
      <w:sdtPr>
        <w:rPr>
          <w:rFonts w:ascii="Arial" w:hAnsi="Arial" w:cs="Arial"/>
          <w:sz w:val="22"/>
          <w:szCs w:val="22"/>
        </w:rPr>
        <w:id w:val="1697655104"/>
        <w:docPartObj>
          <w:docPartGallery w:val="Page Numbers (Bottom of Page)"/>
          <w:docPartUnique/>
        </w:docPartObj>
      </w:sdtPr>
      <w:sdtEndPr/>
      <w:sdtContent>
        <w:r w:rsidRPr="0059063D">
          <w:rPr>
            <w:rFonts w:ascii="Arial" w:hAnsi="Arial" w:cs="Arial"/>
            <w:sz w:val="22"/>
            <w:szCs w:val="22"/>
          </w:rPr>
          <w:tab/>
        </w:r>
        <w:r w:rsidRPr="0059063D">
          <w:rPr>
            <w:rFonts w:ascii="Arial" w:hAnsi="Arial" w:cs="Arial"/>
            <w:sz w:val="22"/>
            <w:szCs w:val="22"/>
          </w:rPr>
          <w:tab/>
        </w:r>
        <w:r w:rsidRPr="0059063D">
          <w:rPr>
            <w:rFonts w:ascii="Arial" w:hAnsi="Arial" w:cs="Arial"/>
            <w:sz w:val="22"/>
            <w:szCs w:val="22"/>
          </w:rPr>
          <w:tab/>
        </w:r>
        <w:r w:rsidRPr="0059063D">
          <w:rPr>
            <w:rFonts w:ascii="Arial" w:hAnsi="Arial" w:cs="Arial"/>
            <w:sz w:val="22"/>
            <w:szCs w:val="22"/>
          </w:rPr>
          <w:fldChar w:fldCharType="begin"/>
        </w:r>
        <w:r w:rsidRPr="0059063D">
          <w:rPr>
            <w:rFonts w:ascii="Arial" w:hAnsi="Arial" w:cs="Arial"/>
            <w:sz w:val="22"/>
            <w:szCs w:val="22"/>
          </w:rPr>
          <w:instrText xml:space="preserve"> PAGE   \* MERGEFORMAT </w:instrText>
        </w:r>
        <w:r w:rsidRPr="0059063D">
          <w:rPr>
            <w:rFonts w:ascii="Arial" w:hAnsi="Arial" w:cs="Arial"/>
            <w:sz w:val="22"/>
            <w:szCs w:val="22"/>
          </w:rPr>
          <w:fldChar w:fldCharType="separate"/>
        </w:r>
        <w:r w:rsidRPr="0059063D">
          <w:rPr>
            <w:rFonts w:ascii="Arial" w:hAnsi="Arial" w:cs="Arial"/>
            <w:sz w:val="22"/>
            <w:szCs w:val="22"/>
          </w:rPr>
          <w:t>1</w:t>
        </w:r>
        <w:r w:rsidRPr="0059063D">
          <w:rPr>
            <w:rFonts w:ascii="Arial" w:hAnsi="Arial" w:cs="Arial"/>
            <w:sz w:val="22"/>
            <w:szCs w:val="22"/>
          </w:rPr>
          <w:fldChar w:fldCharType="end"/>
        </w:r>
      </w:sdtContent>
    </w:sdt>
  </w:p>
  <w:p w:rsidR="00FB0803" w:rsidRDefault="00FB0803">
    <w:pPr>
      <w:pStyle w:val="Footer"/>
    </w:pPr>
  </w:p>
  <w:p w:rsidR="00FB0803" w:rsidRDefault="00FB0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DB3" w:rsidRDefault="00C13DB3" w:rsidP="00FB0803">
      <w:r>
        <w:separator/>
      </w:r>
    </w:p>
  </w:footnote>
  <w:footnote w:type="continuationSeparator" w:id="0">
    <w:p w:rsidR="00C13DB3" w:rsidRDefault="00C13DB3" w:rsidP="00FB0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FE0"/>
    <w:multiLevelType w:val="multilevel"/>
    <w:tmpl w:val="21B44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B10F20"/>
    <w:multiLevelType w:val="multilevel"/>
    <w:tmpl w:val="FF809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6D00C4"/>
    <w:multiLevelType w:val="multilevel"/>
    <w:tmpl w:val="172E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90DA7"/>
    <w:multiLevelType w:val="multilevel"/>
    <w:tmpl w:val="00D0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37EFB"/>
    <w:multiLevelType w:val="multilevel"/>
    <w:tmpl w:val="5478E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E06FDC"/>
    <w:multiLevelType w:val="multilevel"/>
    <w:tmpl w:val="52064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BE177A"/>
    <w:multiLevelType w:val="multilevel"/>
    <w:tmpl w:val="D5280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82B47"/>
    <w:multiLevelType w:val="multilevel"/>
    <w:tmpl w:val="1E9CB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715A22"/>
    <w:multiLevelType w:val="multilevel"/>
    <w:tmpl w:val="13C03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1C0B1B17"/>
    <w:multiLevelType w:val="multilevel"/>
    <w:tmpl w:val="DCFE7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CDA174E"/>
    <w:multiLevelType w:val="multilevel"/>
    <w:tmpl w:val="8B780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E060409"/>
    <w:multiLevelType w:val="multilevel"/>
    <w:tmpl w:val="E9F4E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A83254"/>
    <w:multiLevelType w:val="multilevel"/>
    <w:tmpl w:val="1B7CE93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A267CB"/>
    <w:multiLevelType w:val="multilevel"/>
    <w:tmpl w:val="2DC4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2A37B5D"/>
    <w:multiLevelType w:val="multilevel"/>
    <w:tmpl w:val="CBF8A4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B76DD1"/>
    <w:multiLevelType w:val="multilevel"/>
    <w:tmpl w:val="92960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4FB7D73"/>
    <w:multiLevelType w:val="multilevel"/>
    <w:tmpl w:val="DF94DE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5666EE0"/>
    <w:multiLevelType w:val="multilevel"/>
    <w:tmpl w:val="C7B4D2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576D9F"/>
    <w:multiLevelType w:val="multilevel"/>
    <w:tmpl w:val="82B84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DC4E07"/>
    <w:multiLevelType w:val="multilevel"/>
    <w:tmpl w:val="63A89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86D0D06"/>
    <w:multiLevelType w:val="multilevel"/>
    <w:tmpl w:val="87E85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F34D42"/>
    <w:multiLevelType w:val="multilevel"/>
    <w:tmpl w:val="658074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DDB6836"/>
    <w:multiLevelType w:val="multilevel"/>
    <w:tmpl w:val="39D86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E8E4CD1"/>
    <w:multiLevelType w:val="multilevel"/>
    <w:tmpl w:val="49C208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6D379A"/>
    <w:multiLevelType w:val="multilevel"/>
    <w:tmpl w:val="8BBE7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0D4336"/>
    <w:multiLevelType w:val="multilevel"/>
    <w:tmpl w:val="572A4B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E39408C"/>
    <w:multiLevelType w:val="multilevel"/>
    <w:tmpl w:val="E676C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29A42D0"/>
    <w:multiLevelType w:val="multilevel"/>
    <w:tmpl w:val="C27A5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4274BB0"/>
    <w:multiLevelType w:val="multilevel"/>
    <w:tmpl w:val="CF628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49250A5"/>
    <w:multiLevelType w:val="multilevel"/>
    <w:tmpl w:val="128607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77937C5"/>
    <w:multiLevelType w:val="multilevel"/>
    <w:tmpl w:val="9B522E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EA66975"/>
    <w:multiLevelType w:val="multilevel"/>
    <w:tmpl w:val="FF5AB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FFC4184"/>
    <w:multiLevelType w:val="multilevel"/>
    <w:tmpl w:val="631C9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73C5D9A"/>
    <w:multiLevelType w:val="multilevel"/>
    <w:tmpl w:val="5F84E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C724217"/>
    <w:multiLevelType w:val="multilevel"/>
    <w:tmpl w:val="6298E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7C5139"/>
    <w:multiLevelType w:val="multilevel"/>
    <w:tmpl w:val="8A72C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8CC2808"/>
    <w:multiLevelType w:val="multilevel"/>
    <w:tmpl w:val="F5BA8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F75777"/>
    <w:multiLevelType w:val="multilevel"/>
    <w:tmpl w:val="5DBC4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D093780"/>
    <w:multiLevelType w:val="multilevel"/>
    <w:tmpl w:val="B3289B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7214F"/>
    <w:multiLevelType w:val="multilevel"/>
    <w:tmpl w:val="06345386"/>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1" w15:restartNumberingAfterBreak="0">
    <w:nsid w:val="6DC734B9"/>
    <w:multiLevelType w:val="multilevel"/>
    <w:tmpl w:val="ADA08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0C6335C"/>
    <w:multiLevelType w:val="multilevel"/>
    <w:tmpl w:val="FFF27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4058BF"/>
    <w:multiLevelType w:val="multilevel"/>
    <w:tmpl w:val="DA72F3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29B7214"/>
    <w:multiLevelType w:val="multilevel"/>
    <w:tmpl w:val="6D3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F548C6"/>
    <w:multiLevelType w:val="multilevel"/>
    <w:tmpl w:val="2EE223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1B4B16"/>
    <w:multiLevelType w:val="multilevel"/>
    <w:tmpl w:val="91201140"/>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6EE5E2D"/>
    <w:multiLevelType w:val="multilevel"/>
    <w:tmpl w:val="58CAB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7681706"/>
    <w:multiLevelType w:val="multilevel"/>
    <w:tmpl w:val="D90C57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87C1051"/>
    <w:multiLevelType w:val="multilevel"/>
    <w:tmpl w:val="60F407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78B32F8C"/>
    <w:multiLevelType w:val="multilevel"/>
    <w:tmpl w:val="89E6A7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7AC519B9"/>
    <w:multiLevelType w:val="multilevel"/>
    <w:tmpl w:val="25CC50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B276B51"/>
    <w:multiLevelType w:val="multilevel"/>
    <w:tmpl w:val="9ABC90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B2A4B1D"/>
    <w:multiLevelType w:val="multilevel"/>
    <w:tmpl w:val="D992300C"/>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D13231C"/>
    <w:multiLevelType w:val="multilevel"/>
    <w:tmpl w:val="438261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D3B2710"/>
    <w:multiLevelType w:val="multilevel"/>
    <w:tmpl w:val="71BA7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D904454"/>
    <w:multiLevelType w:val="multilevel"/>
    <w:tmpl w:val="399A1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1"/>
  </w:num>
  <w:num w:numId="3">
    <w:abstractNumId w:val="26"/>
  </w:num>
  <w:num w:numId="4">
    <w:abstractNumId w:val="53"/>
  </w:num>
  <w:num w:numId="5">
    <w:abstractNumId w:val="46"/>
  </w:num>
  <w:num w:numId="6">
    <w:abstractNumId w:val="25"/>
  </w:num>
  <w:num w:numId="7">
    <w:abstractNumId w:val="24"/>
  </w:num>
  <w:num w:numId="8">
    <w:abstractNumId w:val="33"/>
  </w:num>
  <w:num w:numId="9">
    <w:abstractNumId w:val="14"/>
  </w:num>
  <w:num w:numId="10">
    <w:abstractNumId w:val="28"/>
  </w:num>
  <w:num w:numId="11">
    <w:abstractNumId w:val="56"/>
  </w:num>
  <w:num w:numId="12">
    <w:abstractNumId w:val="15"/>
  </w:num>
  <w:num w:numId="13">
    <w:abstractNumId w:val="7"/>
  </w:num>
  <w:num w:numId="14">
    <w:abstractNumId w:val="44"/>
  </w:num>
  <w:num w:numId="15">
    <w:abstractNumId w:val="37"/>
  </w:num>
  <w:num w:numId="16">
    <w:abstractNumId w:val="2"/>
  </w:num>
  <w:num w:numId="17">
    <w:abstractNumId w:val="18"/>
  </w:num>
  <w:num w:numId="18">
    <w:abstractNumId w:val="22"/>
  </w:num>
  <w:num w:numId="19">
    <w:abstractNumId w:val="12"/>
  </w:num>
  <w:num w:numId="20">
    <w:abstractNumId w:val="54"/>
  </w:num>
  <w:num w:numId="21">
    <w:abstractNumId w:val="39"/>
  </w:num>
  <w:num w:numId="22">
    <w:abstractNumId w:val="4"/>
  </w:num>
  <w:num w:numId="23">
    <w:abstractNumId w:val="19"/>
  </w:num>
  <w:num w:numId="24">
    <w:abstractNumId w:val="3"/>
  </w:num>
  <w:num w:numId="25">
    <w:abstractNumId w:val="16"/>
  </w:num>
  <w:num w:numId="26">
    <w:abstractNumId w:val="29"/>
  </w:num>
  <w:num w:numId="27">
    <w:abstractNumId w:val="20"/>
  </w:num>
  <w:num w:numId="28">
    <w:abstractNumId w:val="35"/>
  </w:num>
  <w:num w:numId="29">
    <w:abstractNumId w:val="27"/>
  </w:num>
  <w:num w:numId="30">
    <w:abstractNumId w:val="32"/>
  </w:num>
  <w:num w:numId="31">
    <w:abstractNumId w:val="51"/>
  </w:num>
  <w:num w:numId="32">
    <w:abstractNumId w:val="42"/>
  </w:num>
  <w:num w:numId="33">
    <w:abstractNumId w:val="48"/>
  </w:num>
  <w:num w:numId="34">
    <w:abstractNumId w:val="8"/>
  </w:num>
  <w:num w:numId="35">
    <w:abstractNumId w:val="21"/>
  </w:num>
  <w:num w:numId="36">
    <w:abstractNumId w:val="41"/>
  </w:num>
  <w:num w:numId="37">
    <w:abstractNumId w:val="47"/>
  </w:num>
  <w:num w:numId="38">
    <w:abstractNumId w:val="52"/>
  </w:num>
  <w:num w:numId="39">
    <w:abstractNumId w:val="52"/>
    <w:lvlOverride w:ilvl="1">
      <w:startOverride w:val="1"/>
    </w:lvlOverride>
  </w:num>
  <w:num w:numId="40">
    <w:abstractNumId w:val="38"/>
  </w:num>
  <w:num w:numId="41">
    <w:abstractNumId w:val="5"/>
  </w:num>
  <w:num w:numId="42">
    <w:abstractNumId w:val="0"/>
  </w:num>
  <w:num w:numId="43">
    <w:abstractNumId w:val="30"/>
  </w:num>
  <w:num w:numId="44">
    <w:abstractNumId w:val="43"/>
  </w:num>
  <w:num w:numId="45">
    <w:abstractNumId w:val="50"/>
  </w:num>
  <w:num w:numId="46">
    <w:abstractNumId w:val="49"/>
  </w:num>
  <w:num w:numId="47">
    <w:abstractNumId w:val="13"/>
  </w:num>
  <w:num w:numId="48">
    <w:abstractNumId w:val="10"/>
  </w:num>
  <w:num w:numId="49">
    <w:abstractNumId w:val="55"/>
  </w:num>
  <w:num w:numId="50">
    <w:abstractNumId w:val="45"/>
  </w:num>
  <w:num w:numId="51">
    <w:abstractNumId w:val="34"/>
  </w:num>
  <w:num w:numId="52">
    <w:abstractNumId w:val="36"/>
  </w:num>
  <w:num w:numId="53">
    <w:abstractNumId w:val="31"/>
  </w:num>
  <w:num w:numId="54">
    <w:abstractNumId w:val="11"/>
  </w:num>
  <w:num w:numId="55">
    <w:abstractNumId w:val="17"/>
  </w:num>
  <w:num w:numId="56">
    <w:abstractNumId w:val="23"/>
  </w:num>
  <w:num w:numId="57">
    <w:abstractNumId w:val="9"/>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25"/>
    <w:rsid w:val="00082157"/>
    <w:rsid w:val="00505354"/>
    <w:rsid w:val="00543AEE"/>
    <w:rsid w:val="0059063D"/>
    <w:rsid w:val="00606EA1"/>
    <w:rsid w:val="006F18C7"/>
    <w:rsid w:val="008279D8"/>
    <w:rsid w:val="00863F1D"/>
    <w:rsid w:val="0090306D"/>
    <w:rsid w:val="009D27FF"/>
    <w:rsid w:val="009F0F63"/>
    <w:rsid w:val="00A20125"/>
    <w:rsid w:val="00B06B0C"/>
    <w:rsid w:val="00C13DB3"/>
    <w:rsid w:val="00D94CCB"/>
    <w:rsid w:val="00DD33C8"/>
    <w:rsid w:val="00FB08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B8FB1"/>
  <w15:chartTrackingRefBased/>
  <w15:docId w15:val="{D5E71A32-422E-4BAA-A340-941D45F6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125"/>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2012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2012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2012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20125"/>
    <w:pPr>
      <w:spacing w:before="100" w:beforeAutospacing="1" w:after="100" w:afterAutospacing="1"/>
      <w:outlineLvl w:val="3"/>
    </w:pPr>
    <w:rPr>
      <w:b/>
      <w:bCs/>
    </w:rPr>
  </w:style>
  <w:style w:type="paragraph" w:styleId="Heading5">
    <w:name w:val="heading 5"/>
    <w:basedOn w:val="Normal"/>
    <w:link w:val="Heading5Char"/>
    <w:uiPriority w:val="9"/>
    <w:qFormat/>
    <w:rsid w:val="00A2012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2012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12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2012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2012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2012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2012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20125"/>
    <w:rPr>
      <w:rFonts w:ascii="Times New Roman" w:eastAsiaTheme="minorEastAsia" w:hAnsi="Times New Roman" w:cs="Times New Roman"/>
      <w:b/>
      <w:bCs/>
      <w:sz w:val="15"/>
      <w:szCs w:val="15"/>
      <w:lang w:eastAsia="en-AU"/>
    </w:rPr>
  </w:style>
  <w:style w:type="paragraph" w:customStyle="1" w:styleId="msonormal0">
    <w:name w:val="msonormal"/>
    <w:basedOn w:val="Normal"/>
    <w:rsid w:val="00A20125"/>
    <w:pPr>
      <w:spacing w:before="100" w:beforeAutospacing="1" w:after="100" w:afterAutospacing="1"/>
    </w:pPr>
  </w:style>
  <w:style w:type="character" w:styleId="Hyperlink">
    <w:name w:val="Hyperlink"/>
    <w:basedOn w:val="DefaultParagraphFont"/>
    <w:uiPriority w:val="99"/>
    <w:semiHidden/>
    <w:unhideWhenUsed/>
    <w:rsid w:val="00A20125"/>
    <w:rPr>
      <w:color w:val="0000FF"/>
      <w:u w:val="single"/>
    </w:rPr>
  </w:style>
  <w:style w:type="character" w:styleId="FollowedHyperlink">
    <w:name w:val="FollowedHyperlink"/>
    <w:basedOn w:val="DefaultParagraphFont"/>
    <w:uiPriority w:val="99"/>
    <w:semiHidden/>
    <w:unhideWhenUsed/>
    <w:rsid w:val="00A20125"/>
    <w:rPr>
      <w:color w:val="800080"/>
      <w:u w:val="single"/>
    </w:rPr>
  </w:style>
  <w:style w:type="paragraph" w:customStyle="1" w:styleId="hidden">
    <w:name w:val="hidden"/>
    <w:basedOn w:val="Normal"/>
    <w:rsid w:val="00A20125"/>
    <w:pPr>
      <w:spacing w:before="100" w:beforeAutospacing="1" w:after="100" w:afterAutospacing="1"/>
    </w:pPr>
  </w:style>
  <w:style w:type="paragraph" w:styleId="NormalWeb">
    <w:name w:val="Normal (Web)"/>
    <w:basedOn w:val="Normal"/>
    <w:uiPriority w:val="99"/>
    <w:semiHidden/>
    <w:unhideWhenUsed/>
    <w:rsid w:val="00A20125"/>
    <w:pPr>
      <w:spacing w:before="100" w:beforeAutospacing="1" w:after="100" w:afterAutospacing="1"/>
    </w:pPr>
  </w:style>
  <w:style w:type="character" w:styleId="Strong">
    <w:name w:val="Strong"/>
    <w:basedOn w:val="DefaultParagraphFont"/>
    <w:uiPriority w:val="22"/>
    <w:qFormat/>
    <w:rsid w:val="00A20125"/>
    <w:rPr>
      <w:b/>
      <w:bCs/>
    </w:rPr>
  </w:style>
  <w:style w:type="character" w:styleId="Emphasis">
    <w:name w:val="Emphasis"/>
    <w:basedOn w:val="DefaultParagraphFont"/>
    <w:uiPriority w:val="20"/>
    <w:qFormat/>
    <w:rsid w:val="00A20125"/>
    <w:rPr>
      <w:i/>
      <w:iCs/>
    </w:rPr>
  </w:style>
  <w:style w:type="character" w:customStyle="1" w:styleId="highlightbackground">
    <w:name w:val="highlightbackground"/>
    <w:basedOn w:val="DefaultParagraphFont"/>
    <w:rsid w:val="00A20125"/>
  </w:style>
  <w:style w:type="character" w:customStyle="1" w:styleId="number">
    <w:name w:val="number"/>
    <w:basedOn w:val="DefaultParagraphFont"/>
    <w:rsid w:val="00A20125"/>
  </w:style>
  <w:style w:type="character" w:customStyle="1" w:styleId="newwindow">
    <w:name w:val="newwindow"/>
    <w:basedOn w:val="DefaultParagraphFont"/>
    <w:rsid w:val="00A20125"/>
  </w:style>
  <w:style w:type="character" w:customStyle="1" w:styleId="highlighttext">
    <w:name w:val="highlighttext"/>
    <w:basedOn w:val="DefaultParagraphFont"/>
    <w:rsid w:val="00A20125"/>
  </w:style>
  <w:style w:type="paragraph" w:customStyle="1" w:styleId="right">
    <w:name w:val="right"/>
    <w:basedOn w:val="Normal"/>
    <w:rsid w:val="00A20125"/>
    <w:pPr>
      <w:spacing w:before="100" w:beforeAutospacing="1" w:after="100" w:afterAutospacing="1"/>
    </w:pPr>
  </w:style>
  <w:style w:type="paragraph" w:styleId="BalloonText">
    <w:name w:val="Balloon Text"/>
    <w:basedOn w:val="Normal"/>
    <w:link w:val="BalloonTextChar"/>
    <w:uiPriority w:val="99"/>
    <w:semiHidden/>
    <w:unhideWhenUsed/>
    <w:rsid w:val="00A20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5"/>
    <w:rPr>
      <w:rFonts w:ascii="Segoe UI" w:eastAsiaTheme="minorEastAsia" w:hAnsi="Segoe UI" w:cs="Segoe UI"/>
      <w:sz w:val="18"/>
      <w:szCs w:val="18"/>
      <w:lang w:eastAsia="en-AU"/>
    </w:rPr>
  </w:style>
  <w:style w:type="paragraph" w:styleId="ListParagraph">
    <w:name w:val="List Paragraph"/>
    <w:basedOn w:val="Normal"/>
    <w:uiPriority w:val="34"/>
    <w:qFormat/>
    <w:rsid w:val="00D94CCB"/>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FB0803"/>
    <w:pPr>
      <w:tabs>
        <w:tab w:val="center" w:pos="4513"/>
        <w:tab w:val="right" w:pos="9026"/>
      </w:tabs>
    </w:pPr>
  </w:style>
  <w:style w:type="character" w:customStyle="1" w:styleId="HeaderChar">
    <w:name w:val="Header Char"/>
    <w:basedOn w:val="DefaultParagraphFont"/>
    <w:link w:val="Header"/>
    <w:uiPriority w:val="99"/>
    <w:rsid w:val="00FB080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FB0803"/>
    <w:pPr>
      <w:tabs>
        <w:tab w:val="center" w:pos="4513"/>
        <w:tab w:val="right" w:pos="9026"/>
      </w:tabs>
    </w:pPr>
  </w:style>
  <w:style w:type="character" w:customStyle="1" w:styleId="FooterChar">
    <w:name w:val="Footer Char"/>
    <w:basedOn w:val="DefaultParagraphFont"/>
    <w:link w:val="Footer"/>
    <w:uiPriority w:val="99"/>
    <w:rsid w:val="00FB080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theme" Target="theme/theme1.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image" Target="media/image8.emf"/><Relationship Id="rId52"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2.emf"/><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10162</Words>
  <Characters>57928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2021-10-13T01:47:00Z</dcterms:created>
  <dcterms:modified xsi:type="dcterms:W3CDTF">2021-11-11T06:18:00Z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A19485614</vt:lpwstr>
  </property>
  <property fmtid="{D5CDD505-2E9C-101B-9397-08002B2CF9AE}" pid="4" name="Objective-Title">
    <vt:lpwstr>9.4.1.6.2 Suburban neighbourhood precinct - Assessable - UPDATED</vt:lpwstr>
  </property>
  <property fmtid="{D5CDD505-2E9C-101B-9397-08002B2CF9AE}" pid="5" name="Objective-Comment">
    <vt:lpwstr/>
  </property>
  <property fmtid="{D5CDD505-2E9C-101B-9397-08002B2CF9AE}" pid="6" name="Objective-CreationStamp">
    <vt:filetime>2019-12-17T05:56:18Z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2020-01-07T01:23:47Z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