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791"/>
        <w:gridCol w:w="6549"/>
        <w:gridCol w:w="1701"/>
        <w:gridCol w:w="3348"/>
      </w:tblGrid>
      <w:tr w:rsidR="00C90FC5" w:rsidRPr="00C90FC5" w14:paraId="1F7EEA19" w14:textId="77777777" w:rsidTr="001072FA">
        <w:trPr>
          <w:tblCellSpacing w:w="15" w:type="dxa"/>
        </w:trPr>
        <w:tc>
          <w:tcPr>
            <w:tcW w:w="15329" w:type="dxa"/>
            <w:gridSpan w:val="4"/>
            <w:tcBorders>
              <w:top w:val="nil"/>
              <w:left w:val="nil"/>
              <w:bottom w:val="nil"/>
              <w:right w:val="nil"/>
            </w:tcBorders>
            <w:shd w:val="clear" w:color="auto" w:fill="CCCCCC"/>
            <w:tcMar>
              <w:top w:w="30" w:type="dxa"/>
              <w:left w:w="30" w:type="dxa"/>
              <w:bottom w:w="30" w:type="dxa"/>
              <w:right w:w="30" w:type="dxa"/>
            </w:tcMar>
            <w:vAlign w:val="center"/>
            <w:hideMark/>
          </w:tcPr>
          <w:p w14:paraId="329BD674" w14:textId="77777777" w:rsidR="00C90FC5" w:rsidRPr="00C90FC5" w:rsidRDefault="00C90FC5" w:rsidP="00C90FC5">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8.2.1.2 Assessable development - Coastal hazard overlay</w:t>
            </w:r>
          </w:p>
        </w:tc>
      </w:tr>
      <w:tr w:rsidR="00C90FC5" w:rsidRPr="00C90FC5" w14:paraId="00295604" w14:textId="77777777" w:rsidTr="001072FA">
        <w:trPr>
          <w:tblCellSpacing w:w="15" w:type="dxa"/>
        </w:trPr>
        <w:tc>
          <w:tcPr>
            <w:tcW w:w="374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2E77F4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Performance outcomes</w:t>
            </w:r>
          </w:p>
        </w:tc>
        <w:tc>
          <w:tcPr>
            <w:tcW w:w="6519"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60A712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Examples that achieve aspects of the Performance Outcomes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14:paraId="39A2CA84" w14:textId="77777777" w:rsidR="00C90FC5" w:rsidRPr="002A3213" w:rsidRDefault="00C90FC5" w:rsidP="00C90FC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35400764" w14:textId="77777777" w:rsidR="00C90FC5" w:rsidRPr="008B6E1B" w:rsidRDefault="00C90FC5" w:rsidP="00C90FC5">
            <w:pPr>
              <w:pStyle w:val="ListParagraph"/>
              <w:numPr>
                <w:ilvl w:val="0"/>
                <w:numId w:val="2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4684E35" w14:textId="77777777" w:rsidR="00C90FC5" w:rsidRPr="00E42B98" w:rsidRDefault="00C90FC5" w:rsidP="00C90FC5">
            <w:pPr>
              <w:pStyle w:val="ListParagraph"/>
              <w:numPr>
                <w:ilvl w:val="0"/>
                <w:numId w:val="2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608D4103" w14:textId="77777777" w:rsidR="00C90FC5" w:rsidRPr="00666BDF" w:rsidRDefault="00C90FC5" w:rsidP="00C90FC5">
            <w:pPr>
              <w:pStyle w:val="ListParagraph"/>
              <w:numPr>
                <w:ilvl w:val="0"/>
                <w:numId w:val="2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3303" w:type="dxa"/>
            <w:tcBorders>
              <w:top w:val="outset" w:sz="6" w:space="0" w:color="auto"/>
              <w:left w:val="outset" w:sz="6" w:space="0" w:color="auto"/>
              <w:bottom w:val="outset" w:sz="6" w:space="0" w:color="auto"/>
              <w:right w:val="outset" w:sz="6" w:space="0" w:color="auto"/>
            </w:tcBorders>
            <w:shd w:val="clear" w:color="auto" w:fill="CCCCCC"/>
          </w:tcPr>
          <w:p w14:paraId="2603F060" w14:textId="77777777" w:rsidR="00C90FC5" w:rsidRPr="00666BDF"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90FC5" w:rsidRPr="00C90FC5" w14:paraId="310CAF77" w14:textId="77777777"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4CD5815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Material change of use or building work for a dwelling house</w:t>
            </w:r>
            <w:r w:rsidRPr="00C90FC5">
              <w:rPr>
                <w:rFonts w:ascii="Arial" w:eastAsia="Times New Roman" w:hAnsi="Arial" w:cs="Arial"/>
                <w:sz w:val="20"/>
                <w:szCs w:val="20"/>
                <w:lang w:eastAsia="en-AU"/>
              </w:rPr>
              <w:t xml:space="preserve"> </w:t>
            </w:r>
            <w:r w:rsidRPr="00C90FC5">
              <w:rPr>
                <w:rFonts w:ascii="Arial" w:eastAsia="Times New Roman" w:hAnsi="Arial" w:cs="Arial"/>
                <w:sz w:val="20"/>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14:paraId="35CFAEB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14:paraId="7B6D741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08728C11" w14:textId="77777777" w:rsidTr="001072FA">
        <w:trPr>
          <w:trHeight w:val="2745"/>
          <w:tblCellSpacing w:w="15" w:type="dxa"/>
        </w:trPr>
        <w:tc>
          <w:tcPr>
            <w:tcW w:w="3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B438C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w:t>
            </w:r>
          </w:p>
          <w:p w14:paraId="72F30E3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in the High risk storm tide inundation area included in the Limited development zone for:</w:t>
            </w:r>
          </w:p>
          <w:p w14:paraId="71766C90" w14:textId="77777777" w:rsidR="00C90FC5" w:rsidRPr="00C90FC5" w:rsidRDefault="00C90FC5" w:rsidP="00C90FC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 material change of use and associated building work for a dwelling house</w:t>
            </w:r>
            <w:r w:rsidRPr="00C90FC5">
              <w:rPr>
                <w:rFonts w:ascii="Arial" w:eastAsia="Times New Roman" w:hAnsi="Arial" w:cs="Arial"/>
                <w:sz w:val="20"/>
                <w:szCs w:val="20"/>
                <w:vertAlign w:val="superscript"/>
                <w:lang w:eastAsia="en-AU"/>
              </w:rPr>
              <w:t>(</w:t>
            </w:r>
            <w:hyperlink r:id="rId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does not occur; </w:t>
            </w:r>
          </w:p>
          <w:p w14:paraId="672FBCE2" w14:textId="77777777" w:rsidR="00C90FC5" w:rsidRPr="00C90FC5" w:rsidRDefault="00C90FC5" w:rsidP="00C90FC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building work not associated with a material change of use for a dwelling house</w:t>
            </w:r>
            <w:r w:rsidRPr="00C90FC5">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only occurs for an existing lawful use. </w:t>
            </w:r>
          </w:p>
        </w:tc>
        <w:tc>
          <w:tcPr>
            <w:tcW w:w="65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6E0B9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71BF390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4FFBC2F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4D46A7B9" w14:textId="77777777" w:rsidTr="001072FA">
        <w:trPr>
          <w:trHeight w:val="1320"/>
          <w:tblCellSpacing w:w="15" w:type="dxa"/>
        </w:trPr>
        <w:tc>
          <w:tcPr>
            <w:tcW w:w="3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742CF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p>
          <w:p w14:paraId="5CEDA977" w14:textId="77777777"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Erosion Prone Area is sited to protect people and property from coastal processes and minimise the need for additional coastal protection works to mitigate the erosion risk. </w:t>
            </w:r>
          </w:p>
          <w:p w14:paraId="248B1ABD" w14:textId="77777777" w:rsidR="00C90FC5" w:rsidRPr="00C90FC5" w:rsidRDefault="00C90FC5" w:rsidP="00C90FC5">
            <w:pPr>
              <w:rPr>
                <w:rFonts w:ascii="Arial" w:eastAsia="Times New Roman" w:hAnsi="Arial" w:cs="Arial"/>
                <w:sz w:val="20"/>
                <w:szCs w:val="20"/>
                <w:lang w:eastAsia="en-AU"/>
              </w:rPr>
            </w:pPr>
          </w:p>
          <w:p w14:paraId="078D9CB4" w14:textId="77777777" w:rsidR="00C90FC5" w:rsidRPr="00C90FC5" w:rsidRDefault="00C90FC5" w:rsidP="00C90FC5">
            <w:pPr>
              <w:rPr>
                <w:rFonts w:ascii="Arial" w:eastAsia="Times New Roman" w:hAnsi="Arial" w:cs="Arial"/>
                <w:sz w:val="20"/>
                <w:szCs w:val="20"/>
                <w:lang w:eastAsia="en-AU"/>
              </w:rPr>
            </w:pPr>
          </w:p>
          <w:p w14:paraId="5EC16946" w14:textId="77777777" w:rsidR="00C90FC5" w:rsidRPr="00C90FC5" w:rsidRDefault="00C90FC5" w:rsidP="00C90FC5">
            <w:pPr>
              <w:tabs>
                <w:tab w:val="left" w:pos="4705"/>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65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CF0920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p>
          <w:p w14:paraId="741DCF3B" w14:textId="77777777"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located outside the Erosion Prone Area, or otherwise does not extend any further seaward than existing immediately adjacent buildings. </w:t>
            </w:r>
          </w:p>
          <w:p w14:paraId="36A40458" w14:textId="77777777" w:rsidR="00450AAE" w:rsidRPr="00450AAE" w:rsidRDefault="00450AAE" w:rsidP="00450AAE">
            <w:pPr>
              <w:rPr>
                <w:rFonts w:ascii="Arial" w:eastAsia="Times New Roman" w:hAnsi="Arial" w:cs="Arial"/>
                <w:sz w:val="20"/>
                <w:szCs w:val="20"/>
                <w:lang w:eastAsia="en-AU"/>
              </w:rPr>
            </w:pPr>
          </w:p>
          <w:p w14:paraId="4D476BD3" w14:textId="77777777" w:rsidR="00450AAE" w:rsidRPr="00450AAE" w:rsidRDefault="00450AAE" w:rsidP="00450AAE">
            <w:pPr>
              <w:rPr>
                <w:rFonts w:ascii="Arial" w:eastAsia="Times New Roman" w:hAnsi="Arial" w:cs="Arial"/>
                <w:sz w:val="20"/>
                <w:szCs w:val="20"/>
                <w:lang w:eastAsia="en-AU"/>
              </w:rPr>
            </w:pPr>
          </w:p>
          <w:p w14:paraId="48005EE9" w14:textId="77777777" w:rsidR="00450AAE" w:rsidRPr="00450AAE" w:rsidRDefault="00450AAE" w:rsidP="00450AAE">
            <w:pPr>
              <w:rPr>
                <w:rFonts w:ascii="Arial" w:eastAsia="Times New Roman" w:hAnsi="Arial" w:cs="Arial"/>
                <w:sz w:val="20"/>
                <w:szCs w:val="20"/>
                <w:lang w:eastAsia="en-AU"/>
              </w:rPr>
            </w:pPr>
          </w:p>
          <w:p w14:paraId="5145E1A4" w14:textId="77777777" w:rsidR="00450AAE" w:rsidRPr="00450AAE" w:rsidRDefault="00450AAE" w:rsidP="00450AAE">
            <w:pPr>
              <w:rPr>
                <w:rFonts w:ascii="Arial" w:eastAsia="Times New Roman" w:hAnsi="Arial" w:cs="Arial"/>
                <w:sz w:val="20"/>
                <w:szCs w:val="20"/>
                <w:lang w:eastAsia="en-AU"/>
              </w:rPr>
            </w:pPr>
          </w:p>
          <w:p w14:paraId="00EE37FC" w14:textId="77777777" w:rsidR="00450AAE" w:rsidRPr="00450AAE" w:rsidRDefault="00450AAE" w:rsidP="00450AAE">
            <w:pPr>
              <w:rPr>
                <w:rFonts w:ascii="Arial" w:eastAsia="Times New Roman" w:hAnsi="Arial" w:cs="Arial"/>
                <w:sz w:val="20"/>
                <w:szCs w:val="20"/>
                <w:lang w:eastAsia="en-AU"/>
              </w:rPr>
            </w:pPr>
          </w:p>
          <w:p w14:paraId="4DE66522" w14:textId="77777777" w:rsidR="00450AAE" w:rsidRPr="00450AAE" w:rsidRDefault="00F00779" w:rsidP="00F00779">
            <w:pPr>
              <w:tabs>
                <w:tab w:val="left" w:pos="7153"/>
              </w:tabs>
              <w:rPr>
                <w:rFonts w:ascii="Arial" w:eastAsia="Times New Roman" w:hAnsi="Arial" w:cs="Arial"/>
                <w:sz w:val="20"/>
                <w:szCs w:val="20"/>
                <w:lang w:eastAsia="en-AU"/>
              </w:rPr>
            </w:pPr>
            <w:r>
              <w:rPr>
                <w:rFonts w:ascii="Arial" w:eastAsia="Times New Roman" w:hAnsi="Arial" w:cs="Arial"/>
                <w:sz w:val="20"/>
                <w:szCs w:val="20"/>
                <w:lang w:eastAsia="en-AU"/>
              </w:rPr>
              <w:tab/>
            </w:r>
          </w:p>
          <w:p w14:paraId="1AC2B819" w14:textId="77777777" w:rsidR="00450AAE" w:rsidRPr="00450AAE" w:rsidRDefault="00450AAE" w:rsidP="00450AAE">
            <w:pPr>
              <w:rPr>
                <w:rFonts w:ascii="Arial" w:eastAsia="Times New Roman" w:hAnsi="Arial" w:cs="Arial"/>
                <w:sz w:val="20"/>
                <w:szCs w:val="20"/>
                <w:lang w:eastAsia="en-AU"/>
              </w:rPr>
            </w:pPr>
          </w:p>
          <w:p w14:paraId="3B1D67DB" w14:textId="77777777" w:rsidR="00450AAE" w:rsidRPr="00450AAE" w:rsidRDefault="00450AAE" w:rsidP="00450AAE">
            <w:pPr>
              <w:tabs>
                <w:tab w:val="left" w:pos="1267"/>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p w14:paraId="72260F0D" w14:textId="77777777" w:rsidR="00450AAE" w:rsidRPr="00450AAE" w:rsidRDefault="00450AAE" w:rsidP="00450AAE">
            <w:pPr>
              <w:tabs>
                <w:tab w:val="left" w:pos="1267"/>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1671" w:type="dxa"/>
            <w:tcBorders>
              <w:top w:val="outset" w:sz="6" w:space="0" w:color="auto"/>
              <w:left w:val="outset" w:sz="6" w:space="0" w:color="auto"/>
              <w:bottom w:val="outset" w:sz="6" w:space="0" w:color="auto"/>
              <w:right w:val="outset" w:sz="6" w:space="0" w:color="auto"/>
            </w:tcBorders>
          </w:tcPr>
          <w:p w14:paraId="391C656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116AE7A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4DB17085" w14:textId="77777777" w:rsidTr="001072FA">
        <w:trPr>
          <w:trHeight w:val="5925"/>
          <w:tblCellSpacing w:w="15" w:type="dxa"/>
        </w:trPr>
        <w:tc>
          <w:tcPr>
            <w:tcW w:w="374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9D2FD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PO3</w:t>
            </w:r>
          </w:p>
          <w:p w14:paraId="6B3FFC9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the design and built form account for the potential risks of the coastal hazard event (including storm tide inundation, wave action and coastal erosion).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56"/>
            </w:tblGrid>
            <w:tr w:rsidR="00C90FC5" w:rsidRPr="00C90FC5" w14:paraId="44F94B62" w14:textId="77777777" w:rsidTr="001072FA">
              <w:trPr>
                <w:tblCellSpacing w:w="15" w:type="dxa"/>
              </w:trPr>
              <w:tc>
                <w:tcPr>
                  <w:tcW w:w="4722" w:type="dxa"/>
                  <w:vAlign w:val="center"/>
                  <w:hideMark/>
                </w:tcPr>
                <w:p w14:paraId="10CA8913"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by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90FC5" w14:paraId="3507F7C8" w14:textId="77777777" w:rsidTr="001072FA">
              <w:trPr>
                <w:tblCellSpacing w:w="15" w:type="dxa"/>
              </w:trPr>
              <w:tc>
                <w:tcPr>
                  <w:tcW w:w="4722" w:type="dxa"/>
                  <w:vAlign w:val="center"/>
                  <w:hideMark/>
                </w:tcPr>
                <w:p w14:paraId="2ACDD242" w14:textId="77777777" w:rsidR="00C90FC5" w:rsidRPr="00C34DE8" w:rsidRDefault="00C90FC5" w:rsidP="00221DA7">
                  <w:pPr>
                    <w:spacing w:before="100" w:beforeAutospacing="1" w:after="100" w:afterAutospacing="1" w:line="240" w:lineRule="auto"/>
                    <w:ind w:left="153" w:right="153"/>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14:paraId="0DB98A47"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1FA785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E3.1</w:t>
            </w:r>
          </w:p>
          <w:p w14:paraId="20E89F4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 in accordance with the following:</w:t>
            </w:r>
          </w:p>
          <w:p w14:paraId="1733BE5D" w14:textId="77777777" w:rsidR="00C90FC5" w:rsidRPr="00C90FC5" w:rsidRDefault="00C90FC5" w:rsidP="00C90FC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site based coastal engineering report from a suitably qualified Registered Professional Engineer Queensland which identifies the coastal hazard and the structural approach to be utilised for the building work; </w:t>
            </w:r>
          </w:p>
          <w:p w14:paraId="371ABF84" w14:textId="77777777" w:rsidR="00C90FC5" w:rsidRPr="00C90FC5" w:rsidRDefault="00C90FC5" w:rsidP="00C90FC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structural engineering design which ensures that the building work and any associated earthworks are capable of withstanding the nature of the coastal hazard event to which the building will be subject.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29"/>
            </w:tblGrid>
            <w:tr w:rsidR="00C90FC5" w:rsidRPr="00C34DE8" w14:paraId="5067C301" w14:textId="77777777" w:rsidTr="001072FA">
              <w:trPr>
                <w:tblCellSpacing w:w="15" w:type="dxa"/>
              </w:trPr>
              <w:tc>
                <w:tcPr>
                  <w:tcW w:w="6282" w:type="dxa"/>
                  <w:vAlign w:val="center"/>
                  <w:hideMark/>
                </w:tcPr>
                <w:p w14:paraId="1831FA9B"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by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34DE8" w14:paraId="19AC4FFE" w14:textId="77777777" w:rsidTr="001072FA">
              <w:trPr>
                <w:tblCellSpacing w:w="15" w:type="dxa"/>
              </w:trPr>
              <w:tc>
                <w:tcPr>
                  <w:tcW w:w="6282" w:type="dxa"/>
                  <w:vAlign w:val="center"/>
                  <w:hideMark/>
                </w:tcPr>
                <w:p w14:paraId="37B0EE22"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14:paraId="02857B40"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55D5EDA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0B0B5B1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1371AC5F"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2B3673E3"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63088F9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E3.2</w:t>
            </w:r>
          </w:p>
          <w:p w14:paraId="5A78D88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14:paraId="6916F8D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31548B5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28861ACC" w14:textId="77777777" w:rsidTr="001072FA">
        <w:trPr>
          <w:trHeight w:val="247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0AEE7B5A"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79FEE01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E3.3</w:t>
            </w:r>
          </w:p>
          <w:p w14:paraId="41E6EB1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below the flood planning level in </w:t>
            </w:r>
            <w:r w:rsidRPr="00C34DE8">
              <w:rPr>
                <w:rFonts w:ascii="Arial" w:eastAsia="Times New Roman" w:hAnsi="Arial" w:cs="Arial"/>
                <w:sz w:val="20"/>
                <w:szCs w:val="20"/>
                <w:lang w:eastAsia="en-AU"/>
              </w:rPr>
              <w:t xml:space="preserve">Table 8.2.1.3 </w:t>
            </w:r>
            <w:r w:rsidRPr="00C90FC5">
              <w:rPr>
                <w:rFonts w:ascii="Arial" w:eastAsia="Times New Roman" w:hAnsi="Arial" w:cs="Arial"/>
                <w:sz w:val="20"/>
                <w:szCs w:val="20"/>
                <w:lang w:eastAsia="en-AU"/>
              </w:rPr>
              <w:t xml:space="preserve">has a high water resistance.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7F5F79A1" w14:textId="77777777" w:rsidTr="001072FA">
              <w:trPr>
                <w:tblCellSpacing w:w="15" w:type="dxa"/>
              </w:trPr>
              <w:tc>
                <w:tcPr>
                  <w:tcW w:w="6342" w:type="dxa"/>
                  <w:vAlign w:val="center"/>
                  <w:hideMark/>
                </w:tcPr>
                <w:p w14:paraId="52D63942"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18"/>
                      <w:lang w:eastAsia="en-AU"/>
                    </w:rPr>
                  </w:pPr>
                  <w:r w:rsidRPr="00C34DE8">
                    <w:rPr>
                      <w:rFonts w:ascii="Arial" w:eastAsia="Times New Roman" w:hAnsi="Arial" w:cs="Arial"/>
                      <w:sz w:val="18"/>
                      <w:szCs w:val="18"/>
                      <w:lang w:eastAsia="en-AU"/>
                    </w:rPr>
                    <w:t xml:space="preserve">Note - The Queensland Government Fact Sheet ‘Rebuilding after a flood’ provides information about water resilient products and building techniques.  Available at </w:t>
                  </w:r>
                  <w:hyperlink r:id="rId11" w:history="1">
                    <w:r w:rsidR="00221DA7" w:rsidRPr="00C34DE8">
                      <w:rPr>
                        <w:rStyle w:val="Hyperlink"/>
                        <w:rFonts w:ascii="Arial" w:eastAsia="Times New Roman" w:hAnsi="Arial" w:cs="Arial"/>
                        <w:color w:val="auto"/>
                        <w:sz w:val="18"/>
                        <w:szCs w:val="18"/>
                        <w:lang w:eastAsia="en-AU"/>
                      </w:rPr>
                      <w:t>http://www.hpw.qld.gov.au/SiteCollectionDocuments/WaterResilientProductsAndBuildingTechniquesForRebuildingAfterAFlood.pdf</w:t>
                    </w:r>
                  </w:hyperlink>
                </w:p>
              </w:tc>
            </w:tr>
          </w:tbl>
          <w:p w14:paraId="0CCA21D5"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4180A41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F24240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07F23C5B"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3BBED542"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230813F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in the High risk storm tide inundation area or Medium risk storm tide inundation area</w:t>
            </w:r>
          </w:p>
        </w:tc>
      </w:tr>
      <w:tr w:rsidR="00C90FC5" w:rsidRPr="00C90FC5" w14:paraId="1C0891E8"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730211D3"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3172B04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E3.4</w:t>
            </w:r>
          </w:p>
          <w:p w14:paraId="17E191E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a fence is at least 50% permeable.</w:t>
            </w:r>
          </w:p>
        </w:tc>
        <w:tc>
          <w:tcPr>
            <w:tcW w:w="1671" w:type="dxa"/>
            <w:tcBorders>
              <w:top w:val="outset" w:sz="6" w:space="0" w:color="auto"/>
              <w:left w:val="outset" w:sz="6" w:space="0" w:color="auto"/>
              <w:bottom w:val="outset" w:sz="6" w:space="0" w:color="auto"/>
              <w:right w:val="outset" w:sz="6" w:space="0" w:color="auto"/>
            </w:tcBorders>
          </w:tcPr>
          <w:p w14:paraId="43A6F2E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6C26E2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7D4DA2DF" w14:textId="77777777"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0FD22C8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PO4</w:t>
            </w:r>
          </w:p>
          <w:p w14:paraId="0D03EAB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where earthworks alone cannot ensure the development achieves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a building is designed and constructed using pier and pole construction to achieve the required storm tide immunity in the Defined Flood Event. </w:t>
            </w:r>
          </w:p>
        </w:tc>
        <w:tc>
          <w:tcPr>
            <w:tcW w:w="6519" w:type="dxa"/>
            <w:tcBorders>
              <w:top w:val="outset" w:sz="6" w:space="0" w:color="auto"/>
              <w:left w:val="outset" w:sz="6" w:space="0" w:color="auto"/>
              <w:bottom w:val="outset" w:sz="6" w:space="0" w:color="auto"/>
              <w:right w:val="outset" w:sz="6" w:space="0" w:color="auto"/>
            </w:tcBorders>
            <w:hideMark/>
          </w:tcPr>
          <w:p w14:paraId="6A4FA7D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0CE6187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245DD7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78301A52" w14:textId="77777777" w:rsidTr="001072FA">
        <w:trPr>
          <w:trHeight w:val="1845"/>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266E4F6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PO5</w:t>
            </w:r>
          </w:p>
          <w:p w14:paraId="70E90F2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maintains a functional and attractive relationship with the adjacent street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0B8D934B" w14:textId="77777777" w:rsidTr="001072FA">
              <w:trPr>
                <w:tblCellSpacing w:w="15" w:type="dxa"/>
              </w:trPr>
              <w:tc>
                <w:tcPr>
                  <w:tcW w:w="4782" w:type="dxa"/>
                  <w:vAlign w:val="center"/>
                  <w:hideMark/>
                </w:tcPr>
                <w:p w14:paraId="37F6A10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bl>
          <w:p w14:paraId="51586BBA"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4829A35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E5</w:t>
            </w:r>
          </w:p>
          <w:p w14:paraId="006C72F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a dwelling </w:t>
            </w:r>
            <w:r w:rsidR="00787248">
              <w:rPr>
                <w:rFonts w:ascii="Arial" w:eastAsia="Times New Roman" w:hAnsi="Arial" w:cs="Arial"/>
                <w:sz w:val="20"/>
                <w:szCs w:val="20"/>
                <w:lang w:eastAsia="en-AU"/>
              </w:rPr>
              <w:t xml:space="preserve">house </w:t>
            </w:r>
            <w:r w:rsidRPr="00C90FC5">
              <w:rPr>
                <w:rFonts w:ascii="Arial" w:eastAsia="Times New Roman" w:hAnsi="Arial" w:cs="Arial"/>
                <w:sz w:val="20"/>
                <w:szCs w:val="20"/>
                <w:lang w:eastAsia="en-AU"/>
              </w:rPr>
              <w:t>where pier and pole construction is utilised:</w:t>
            </w:r>
          </w:p>
          <w:p w14:paraId="5B82205A" w14:textId="77777777" w:rsidR="00C90FC5" w:rsidRPr="00C90FC5" w:rsidRDefault="00C90FC5" w:rsidP="00C90FC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uses screening around the understorey of the dwelling to ensure the understorey is not visible from the street;</w:t>
            </w:r>
          </w:p>
          <w:p w14:paraId="2A1FFB42" w14:textId="77777777" w:rsidR="00C90FC5" w:rsidRPr="00C90FC5" w:rsidRDefault="00C90FC5" w:rsidP="00C90FC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flood water through the understorey.</w:t>
            </w:r>
          </w:p>
        </w:tc>
        <w:tc>
          <w:tcPr>
            <w:tcW w:w="1671" w:type="dxa"/>
            <w:tcBorders>
              <w:top w:val="outset" w:sz="6" w:space="0" w:color="auto"/>
              <w:left w:val="outset" w:sz="6" w:space="0" w:color="auto"/>
              <w:bottom w:val="outset" w:sz="6" w:space="0" w:color="auto"/>
              <w:right w:val="outset" w:sz="6" w:space="0" w:color="auto"/>
            </w:tcBorders>
          </w:tcPr>
          <w:p w14:paraId="27F6DAC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44331EC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0989E5D6" w14:textId="77777777" w:rsidTr="001072FA">
        <w:trPr>
          <w:trHeight w:val="2835"/>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686EA2D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PO6</w:t>
            </w:r>
          </w:p>
          <w:p w14:paraId="7768FC7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does not increase the potential for erosion, scour or flood damage either on the premises or on other premises, public land, watercourses, roads or infrastructure or elsewhere in the floodplain.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57AC7D79" w14:textId="77777777" w:rsidTr="001072FA">
              <w:trPr>
                <w:tblCellSpacing w:w="15" w:type="dxa"/>
              </w:trPr>
              <w:tc>
                <w:tcPr>
                  <w:tcW w:w="4782" w:type="dxa"/>
                  <w:vAlign w:val="center"/>
                  <w:hideMark/>
                </w:tcPr>
                <w:p w14:paraId="11AA91E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14:paraId="0F565F08"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7F8861B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2E1A737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47CC73F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68B961C6" w14:textId="77777777" w:rsidTr="001072FA">
        <w:trPr>
          <w:trHeight w:val="2370"/>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0A42F61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PO7</w:t>
            </w:r>
          </w:p>
          <w:p w14:paraId="45E6D44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an essential electrical service is located to achieve the required storm tide immunity in the Defined Flood Event and maintain public safety at all times.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63672A49" w14:textId="77777777" w:rsidTr="001072FA">
              <w:trPr>
                <w:tblCellSpacing w:w="15" w:type="dxa"/>
              </w:trPr>
              <w:tc>
                <w:tcPr>
                  <w:tcW w:w="4782" w:type="dxa"/>
                  <w:vAlign w:val="center"/>
                  <w:hideMark/>
                </w:tcPr>
                <w:p w14:paraId="436A631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Note - An essential electrical service includes services defined as utilities and customer dedicated substation</w:t>
                  </w:r>
                  <w:r w:rsidRPr="00C34DE8">
                    <w:rPr>
                      <w:rFonts w:ascii="Arial" w:eastAsia="Times New Roman" w:hAnsi="Arial" w:cs="Arial"/>
                      <w:sz w:val="18"/>
                      <w:szCs w:val="20"/>
                      <w:vertAlign w:val="superscript"/>
                      <w:lang w:eastAsia="en-AU"/>
                    </w:rPr>
                    <w:t>(</w:t>
                  </w:r>
                  <w:hyperlink r:id="rId1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DE8">
                      <w:rPr>
                        <w:rFonts w:ascii="Arial" w:eastAsia="Times New Roman" w:hAnsi="Arial" w:cs="Arial"/>
                        <w:color w:val="0000FF"/>
                        <w:sz w:val="18"/>
                        <w:szCs w:val="20"/>
                        <w:vertAlign w:val="superscript"/>
                        <w:lang w:eastAsia="en-AU"/>
                      </w:rPr>
                      <w:t>80</w:t>
                    </w:r>
                  </w:hyperlink>
                  <w:r w:rsidRPr="00C34DE8">
                    <w:rPr>
                      <w:rFonts w:ascii="Arial" w:eastAsia="Times New Roman" w:hAnsi="Arial" w:cs="Arial"/>
                      <w:sz w:val="18"/>
                      <w:szCs w:val="20"/>
                      <w:vertAlign w:val="superscript"/>
                      <w:lang w:eastAsia="en-AU"/>
                    </w:rPr>
                    <w:t>)</w:t>
                  </w:r>
                  <w:r w:rsidRPr="00C34DE8">
                    <w:rPr>
                      <w:rFonts w:ascii="Arial" w:eastAsia="Times New Roman" w:hAnsi="Arial" w:cs="Arial"/>
                      <w:sz w:val="18"/>
                      <w:szCs w:val="20"/>
                      <w:lang w:eastAsia="en-AU"/>
                    </w:rPr>
                    <w:t xml:space="preserve"> in </w:t>
                  </w:r>
                  <w:r w:rsidRPr="00C34DE8">
                    <w:rPr>
                      <w:rFonts w:ascii="Arial" w:eastAsia="Times New Roman" w:hAnsi="Arial" w:cs="Arial"/>
                      <w:i/>
                      <w:iCs/>
                      <w:sz w:val="18"/>
                      <w:szCs w:val="20"/>
                      <w:lang w:eastAsia="en-AU"/>
                    </w:rPr>
                    <w:t xml:space="preserve">Mandatory Part 3.5 – Construction of buildings in flood hazard areas </w:t>
                  </w:r>
                  <w:r w:rsidRPr="00C34DE8">
                    <w:rPr>
                      <w:rFonts w:ascii="Arial" w:eastAsia="Times New Roman" w:hAnsi="Arial" w:cs="Arial"/>
                      <w:sz w:val="18"/>
                      <w:szCs w:val="20"/>
                      <w:lang w:eastAsia="en-AU"/>
                    </w:rPr>
                    <w:t xml:space="preserve">of the </w:t>
                  </w:r>
                  <w:r w:rsidRPr="00C34DE8">
                    <w:rPr>
                      <w:rFonts w:ascii="Arial" w:eastAsia="Times New Roman" w:hAnsi="Arial" w:cs="Arial"/>
                      <w:i/>
                      <w:iCs/>
                      <w:sz w:val="18"/>
                      <w:szCs w:val="20"/>
                      <w:lang w:eastAsia="en-AU"/>
                    </w:rPr>
                    <w:t>Queensland Development Code</w:t>
                  </w:r>
                  <w:r w:rsidRPr="00C34DE8">
                    <w:rPr>
                      <w:rFonts w:ascii="Arial" w:eastAsia="Times New Roman" w:hAnsi="Arial" w:cs="Arial"/>
                      <w:sz w:val="18"/>
                      <w:szCs w:val="20"/>
                      <w:lang w:eastAsia="en-AU"/>
                    </w:rPr>
                    <w:t xml:space="preserve">. </w:t>
                  </w:r>
                </w:p>
              </w:tc>
            </w:tr>
          </w:tbl>
          <w:p w14:paraId="07CE2BAF"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0B6E810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E7</w:t>
            </w:r>
          </w:p>
          <w:p w14:paraId="2959136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an essential electrical service is located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12A5120D" w14:textId="77777777" w:rsidTr="001072FA">
              <w:trPr>
                <w:trHeight w:val="480"/>
                <w:tblCellSpacing w:w="15" w:type="dxa"/>
              </w:trPr>
              <w:tc>
                <w:tcPr>
                  <w:tcW w:w="6342" w:type="dxa"/>
                  <w:vAlign w:val="center"/>
                  <w:hideMark/>
                </w:tcPr>
                <w:p w14:paraId="594A4E27"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18"/>
                      <w:lang w:eastAsia="en-AU"/>
                    </w:rPr>
                  </w:pPr>
                  <w:r w:rsidRPr="00C34DE8">
                    <w:rPr>
                      <w:rFonts w:ascii="Arial" w:eastAsia="Times New Roman" w:hAnsi="Arial" w:cs="Arial"/>
                      <w:sz w:val="18"/>
                      <w:szCs w:val="18"/>
                      <w:lang w:eastAsia="en-AU"/>
                    </w:rPr>
                    <w:t>Note - An essential electrical service includes services defined as utilities and customer dedicated substation</w:t>
                  </w:r>
                  <w:r w:rsidRPr="00C34DE8">
                    <w:rPr>
                      <w:rFonts w:ascii="Arial" w:eastAsia="Times New Roman" w:hAnsi="Arial" w:cs="Arial"/>
                      <w:sz w:val="18"/>
                      <w:szCs w:val="18"/>
                      <w:vertAlign w:val="superscript"/>
                      <w:lang w:eastAsia="en-AU"/>
                    </w:rPr>
                    <w:t>(</w:t>
                  </w:r>
                  <w:hyperlink r:id="rId1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DE8">
                      <w:rPr>
                        <w:rFonts w:ascii="Arial" w:eastAsia="Times New Roman" w:hAnsi="Arial" w:cs="Arial"/>
                        <w:color w:val="0000FF"/>
                        <w:sz w:val="18"/>
                        <w:szCs w:val="18"/>
                        <w:vertAlign w:val="superscript"/>
                        <w:lang w:eastAsia="en-AU"/>
                      </w:rPr>
                      <w:t>80</w:t>
                    </w:r>
                  </w:hyperlink>
                  <w:r w:rsidRPr="00C34DE8">
                    <w:rPr>
                      <w:rFonts w:ascii="Arial" w:eastAsia="Times New Roman" w:hAnsi="Arial" w:cs="Arial"/>
                      <w:sz w:val="18"/>
                      <w:szCs w:val="18"/>
                      <w:vertAlign w:val="superscript"/>
                      <w:lang w:eastAsia="en-AU"/>
                    </w:rPr>
                    <w:t>)</w:t>
                  </w:r>
                  <w:r w:rsidRPr="00C34DE8">
                    <w:rPr>
                      <w:rFonts w:ascii="Arial" w:eastAsia="Times New Roman" w:hAnsi="Arial" w:cs="Arial"/>
                      <w:sz w:val="18"/>
                      <w:szCs w:val="18"/>
                      <w:lang w:eastAsia="en-AU"/>
                    </w:rPr>
                    <w:t xml:space="preserve"> in </w:t>
                  </w:r>
                  <w:r w:rsidRPr="00C34DE8">
                    <w:rPr>
                      <w:rFonts w:ascii="Arial" w:eastAsia="Times New Roman" w:hAnsi="Arial" w:cs="Arial"/>
                      <w:i/>
                      <w:iCs/>
                      <w:sz w:val="18"/>
                      <w:szCs w:val="18"/>
                      <w:lang w:eastAsia="en-AU"/>
                    </w:rPr>
                    <w:t xml:space="preserve">Mandatory Part 3.5 – Construction of buildings in flood hazard areas </w:t>
                  </w:r>
                  <w:r w:rsidRPr="00C34DE8">
                    <w:rPr>
                      <w:rFonts w:ascii="Arial" w:eastAsia="Times New Roman" w:hAnsi="Arial" w:cs="Arial"/>
                      <w:sz w:val="18"/>
                      <w:szCs w:val="18"/>
                      <w:lang w:eastAsia="en-AU"/>
                    </w:rPr>
                    <w:t xml:space="preserve">of the </w:t>
                  </w:r>
                  <w:r w:rsidRPr="00C34DE8">
                    <w:rPr>
                      <w:rFonts w:ascii="Arial" w:eastAsia="Times New Roman" w:hAnsi="Arial" w:cs="Arial"/>
                      <w:i/>
                      <w:iCs/>
                      <w:sz w:val="18"/>
                      <w:szCs w:val="18"/>
                      <w:lang w:eastAsia="en-AU"/>
                    </w:rPr>
                    <w:t>Queensland Development Code</w:t>
                  </w:r>
                  <w:r w:rsidRPr="00C34DE8">
                    <w:rPr>
                      <w:rFonts w:ascii="Arial" w:eastAsia="Times New Roman" w:hAnsi="Arial" w:cs="Arial"/>
                      <w:sz w:val="18"/>
                      <w:szCs w:val="18"/>
                      <w:lang w:eastAsia="en-AU"/>
                    </w:rPr>
                    <w:t xml:space="preserve">. </w:t>
                  </w:r>
                </w:p>
              </w:tc>
            </w:tr>
          </w:tbl>
          <w:p w14:paraId="61B23511"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0CAABDC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0D3FEED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42590523" w14:textId="77777777" w:rsidTr="001072FA">
        <w:trPr>
          <w:tblCellSpacing w:w="15" w:type="dxa"/>
        </w:trPr>
        <w:tc>
          <w:tcPr>
            <w:tcW w:w="15329"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AE8DC5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Material change of use or building work for all other land uses (other than a dwelling house</w:t>
            </w:r>
            <w:r w:rsidRPr="00C90FC5">
              <w:rPr>
                <w:rFonts w:ascii="Arial" w:eastAsia="Times New Roman" w:hAnsi="Arial" w:cs="Arial"/>
                <w:b/>
                <w:bCs/>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in the Balance area</w:t>
            </w:r>
          </w:p>
        </w:tc>
      </w:tr>
      <w:tr w:rsidR="00C90FC5" w:rsidRPr="00C90FC5" w14:paraId="5D00F059" w14:textId="77777777" w:rsidTr="001072FA">
        <w:trPr>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14:paraId="6C26F74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PO8</w:t>
            </w:r>
          </w:p>
          <w:p w14:paraId="2DE8C69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design and </w:t>
            </w:r>
            <w:r w:rsidRPr="00C90FC5">
              <w:rPr>
                <w:rFonts w:ascii="Arial" w:eastAsia="Times New Roman" w:hAnsi="Arial" w:cs="Arial"/>
                <w:sz w:val="20"/>
                <w:szCs w:val="20"/>
                <w:lang w:eastAsia="en-AU"/>
              </w:rPr>
              <w:lastRenderedPageBreak/>
              <w:t>built form account for the potential risks of flooding.</w:t>
            </w: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5617756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lastRenderedPageBreak/>
              <w:t>Development involving building work for a residential use</w:t>
            </w:r>
          </w:p>
        </w:tc>
      </w:tr>
      <w:tr w:rsidR="00C90FC5" w:rsidRPr="00C90FC5" w14:paraId="569386EF"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08117C0C"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21D0998D"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E8.1</w:t>
            </w:r>
          </w:p>
          <w:p w14:paraId="5A9F6AB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Table 8.2.1.3.</w:t>
            </w:r>
          </w:p>
        </w:tc>
        <w:tc>
          <w:tcPr>
            <w:tcW w:w="1671" w:type="dxa"/>
            <w:tcBorders>
              <w:top w:val="outset" w:sz="6" w:space="0" w:color="auto"/>
              <w:left w:val="outset" w:sz="6" w:space="0" w:color="auto"/>
              <w:bottom w:val="outset" w:sz="6" w:space="0" w:color="auto"/>
              <w:right w:val="outset" w:sz="6" w:space="0" w:color="auto"/>
            </w:tcBorders>
          </w:tcPr>
          <w:p w14:paraId="30CF07E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116E7BE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12EFBF5B" w14:textId="77777777" w:rsidTr="001072FA">
        <w:trPr>
          <w:trHeight w:val="273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74AC65FF"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14D1EC6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E8.2</w:t>
            </w:r>
          </w:p>
          <w:p w14:paraId="54674CE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below the flood planning level in </w:t>
            </w:r>
            <w:r w:rsidRPr="00C34DE8">
              <w:rPr>
                <w:rFonts w:ascii="Arial" w:eastAsia="Times New Roman" w:hAnsi="Arial" w:cs="Arial"/>
                <w:sz w:val="20"/>
                <w:szCs w:val="20"/>
                <w:lang w:eastAsia="en-AU"/>
              </w:rPr>
              <w:t xml:space="preserve">Table 8.2.1.3 </w:t>
            </w:r>
            <w:r w:rsidRPr="00C90FC5">
              <w:rPr>
                <w:rFonts w:ascii="Arial" w:eastAsia="Times New Roman" w:hAnsi="Arial" w:cs="Arial"/>
                <w:sz w:val="20"/>
                <w:szCs w:val="20"/>
                <w:lang w:eastAsia="en-AU"/>
              </w:rPr>
              <w:t xml:space="preserve">has a high water resistance.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2ECAD72B" w14:textId="77777777" w:rsidTr="001072FA">
              <w:trPr>
                <w:tblCellSpacing w:w="15" w:type="dxa"/>
              </w:trPr>
              <w:tc>
                <w:tcPr>
                  <w:tcW w:w="6342" w:type="dxa"/>
                  <w:vAlign w:val="center"/>
                  <w:hideMark/>
                </w:tcPr>
                <w:p w14:paraId="19FD8B0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r w:rsidR="00C34DE8" w:rsidRPr="00C34DE8">
                    <w:rPr>
                      <w:rFonts w:ascii="Arial" w:eastAsia="Times New Roman" w:hAnsi="Arial" w:cs="Arial"/>
                      <w:sz w:val="20"/>
                      <w:szCs w:val="20"/>
                      <w:u w:val="single"/>
                      <w:lang w:eastAsia="en-AU"/>
                    </w:rPr>
                    <w:t>http://www.hpw.qld.gov.au/SiteCollectionDocuments/WaterResilientProductsAndBuildingTechniquesForRebuildingAfterAFlood.pdf</w:t>
                  </w:r>
                </w:p>
              </w:tc>
            </w:tr>
          </w:tbl>
          <w:p w14:paraId="36AD67BC"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35716C5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5B5625A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55B0AC65" w14:textId="77777777" w:rsidTr="001072FA">
        <w:trPr>
          <w:trHeight w:val="9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128CBC4F"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3C20E9A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for a non-residential use</w:t>
            </w:r>
          </w:p>
        </w:tc>
      </w:tr>
      <w:tr w:rsidR="00C90FC5" w:rsidRPr="00C90FC5" w14:paraId="7225421A" w14:textId="77777777" w:rsidTr="001072FA">
        <w:trPr>
          <w:trHeight w:val="85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75D27AC6"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26BD073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E8.3</w:t>
            </w:r>
          </w:p>
          <w:p w14:paraId="3CCA006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finished floor level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1671" w:type="dxa"/>
            <w:tcBorders>
              <w:top w:val="outset" w:sz="6" w:space="0" w:color="auto"/>
              <w:left w:val="outset" w:sz="6" w:space="0" w:color="auto"/>
              <w:bottom w:val="outset" w:sz="6" w:space="0" w:color="auto"/>
              <w:right w:val="outset" w:sz="6" w:space="0" w:color="auto"/>
            </w:tcBorders>
          </w:tcPr>
          <w:p w14:paraId="2C7D3C5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5B80AAC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0E06961E" w14:textId="77777777" w:rsidTr="001072FA">
        <w:trPr>
          <w:trHeight w:val="85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1A65D22A"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4F3C4C5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E8.4</w:t>
            </w:r>
          </w:p>
          <w:p w14:paraId="57491FC3" w14:textId="77777777" w:rsidR="00787248" w:rsidRPr="00787248" w:rsidRDefault="00C90FC5" w:rsidP="00787248">
            <w:pPr>
              <w:spacing w:after="0"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t>
            </w:r>
            <w:r w:rsidR="00787248">
              <w:rPr>
                <w:rFonts w:ascii="Arial" w:eastAsia="Times New Roman" w:hAnsi="Arial" w:cs="Arial"/>
                <w:sz w:val="20"/>
                <w:szCs w:val="20"/>
                <w:lang w:eastAsia="en-AU"/>
              </w:rPr>
              <w:t xml:space="preserve">car parking </w:t>
            </w:r>
            <w:r w:rsidR="00787248" w:rsidRPr="00787248">
              <w:rPr>
                <w:rFonts w:ascii="Arial" w:eastAsia="Times New Roman" w:hAnsi="Arial" w:cs="Arial"/>
                <w:sz w:val="20"/>
                <w:szCs w:val="20"/>
                <w:lang w:eastAsia="en-AU"/>
              </w:rPr>
              <w:t>areas below the</w:t>
            </w:r>
          </w:p>
          <w:p w14:paraId="2B544F3D" w14:textId="77777777"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flood planning level in Table 8.2.1.3 have a high water</w:t>
            </w:r>
          </w:p>
          <w:p w14:paraId="5C709101" w14:textId="77777777" w:rsid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resistance.</w:t>
            </w:r>
          </w:p>
          <w:p w14:paraId="6577B5E4" w14:textId="77777777" w:rsidR="00787248" w:rsidRPr="00787248" w:rsidRDefault="00787248" w:rsidP="00787248">
            <w:pPr>
              <w:spacing w:after="0" w:line="240" w:lineRule="auto"/>
              <w:ind w:left="150" w:right="150"/>
              <w:rPr>
                <w:rFonts w:ascii="Arial" w:eastAsia="Times New Roman" w:hAnsi="Arial" w:cs="Arial"/>
                <w:sz w:val="20"/>
                <w:szCs w:val="20"/>
                <w:lang w:eastAsia="en-AU"/>
              </w:rPr>
            </w:pPr>
          </w:p>
          <w:p w14:paraId="3C89E690" w14:textId="77777777"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Note - The Queensland Government Fact Sheet</w:t>
            </w:r>
          </w:p>
          <w:p w14:paraId="115EEA06" w14:textId="77777777"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hint="eastAsia"/>
                <w:sz w:val="20"/>
                <w:szCs w:val="20"/>
                <w:lang w:eastAsia="en-AU"/>
              </w:rPr>
              <w:t>‘</w:t>
            </w:r>
            <w:r w:rsidRPr="00787248">
              <w:rPr>
                <w:rFonts w:ascii="Arial" w:eastAsia="Times New Roman" w:hAnsi="Arial" w:cs="Arial"/>
                <w:sz w:val="20"/>
                <w:szCs w:val="20"/>
                <w:lang w:eastAsia="en-AU"/>
              </w:rPr>
              <w:t>Rebuilding after a flood</w:t>
            </w:r>
            <w:r w:rsidRPr="00787248">
              <w:rPr>
                <w:rFonts w:ascii="Arial" w:eastAsia="Times New Roman" w:hAnsi="Arial" w:cs="Arial" w:hint="eastAsia"/>
                <w:sz w:val="20"/>
                <w:szCs w:val="20"/>
                <w:lang w:eastAsia="en-AU"/>
              </w:rPr>
              <w:t>’</w:t>
            </w:r>
            <w:r w:rsidRPr="00787248">
              <w:rPr>
                <w:rFonts w:ascii="Arial" w:eastAsia="Times New Roman" w:hAnsi="Arial" w:cs="Arial"/>
                <w:sz w:val="20"/>
                <w:szCs w:val="20"/>
                <w:lang w:eastAsia="en-AU"/>
              </w:rPr>
              <w:t xml:space="preserve"> provides information about water</w:t>
            </w:r>
          </w:p>
          <w:p w14:paraId="01449524" w14:textId="77777777" w:rsidR="00787248" w:rsidRPr="00787248"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resilient products and building techniques. Available</w:t>
            </w:r>
          </w:p>
          <w:p w14:paraId="3F1A38F4" w14:textId="77777777" w:rsidR="00C90FC5" w:rsidRPr="00C90FC5" w:rsidRDefault="00787248" w:rsidP="00787248">
            <w:pPr>
              <w:spacing w:after="0" w:line="240" w:lineRule="auto"/>
              <w:ind w:left="150" w:right="150"/>
              <w:rPr>
                <w:rFonts w:ascii="Arial" w:eastAsia="Times New Roman" w:hAnsi="Arial" w:cs="Arial"/>
                <w:sz w:val="20"/>
                <w:szCs w:val="20"/>
                <w:lang w:eastAsia="en-AU"/>
              </w:rPr>
            </w:pPr>
            <w:r w:rsidRPr="00787248">
              <w:rPr>
                <w:rFonts w:ascii="Arial" w:eastAsia="Times New Roman" w:hAnsi="Arial" w:cs="Arial"/>
                <w:sz w:val="20"/>
                <w:szCs w:val="20"/>
                <w:lang w:eastAsia="en-AU"/>
              </w:rPr>
              <w:t>at</w:t>
            </w:r>
            <w:r>
              <w:rPr>
                <w:rFonts w:ascii="Arial" w:eastAsia="Times New Roman" w:hAnsi="Arial" w:cs="Arial"/>
                <w:sz w:val="20"/>
                <w:szCs w:val="20"/>
                <w:lang w:eastAsia="en-AU"/>
              </w:rPr>
              <w:t xml:space="preserve"> </w:t>
            </w:r>
            <w:r w:rsidRPr="00C34DE8">
              <w:rPr>
                <w:rFonts w:ascii="Arial" w:eastAsia="Times New Roman" w:hAnsi="Arial" w:cs="Arial"/>
                <w:sz w:val="20"/>
                <w:szCs w:val="20"/>
                <w:u w:val="single"/>
                <w:lang w:eastAsia="en-AU"/>
              </w:rPr>
              <w:t>http://www.hpw.qld.gov.au/SiteCollectionDocuments/WaterResilientProductsAndBuildingTechniquesForRebuildingAfterAFlood.pdf</w:t>
            </w:r>
            <w:r>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14:paraId="6C07CF4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02A84FB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7B07BC62" w14:textId="77777777" w:rsidTr="001072FA">
        <w:trPr>
          <w:trHeight w:val="1500"/>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14:paraId="2DB9BBB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PO9</w:t>
            </w:r>
          </w:p>
          <w:p w14:paraId="4962480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use which requires an interface with the public realm (including a commercial and residential use) maintains a </w:t>
            </w:r>
            <w:r w:rsidRPr="00C90FC5">
              <w:rPr>
                <w:rFonts w:ascii="Arial" w:eastAsia="Times New Roman" w:hAnsi="Arial" w:cs="Arial"/>
                <w:sz w:val="20"/>
                <w:szCs w:val="20"/>
                <w:lang w:eastAsia="en-AU"/>
              </w:rPr>
              <w:lastRenderedPageBreak/>
              <w:t xml:space="preserve">functional and attractive relationship with the adjacent street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5C2CF886" w14:textId="77777777" w:rsidTr="001072FA">
              <w:trPr>
                <w:tblCellSpacing w:w="15" w:type="dxa"/>
              </w:trPr>
              <w:tc>
                <w:tcPr>
                  <w:tcW w:w="4782" w:type="dxa"/>
                  <w:vAlign w:val="center"/>
                  <w:hideMark/>
                </w:tcPr>
                <w:p w14:paraId="5A71D60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This is particularly relevant for commercial uses in centres with a strong ‘town-centre’ pedestrian realm that also may be affected by flood, or for residential uses to maintain an attractive presentation to the street. </w:t>
                  </w:r>
                </w:p>
              </w:tc>
            </w:tr>
          </w:tbl>
          <w:p w14:paraId="4447240A"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783E7B0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E9.1</w:t>
            </w:r>
          </w:p>
          <w:p w14:paraId="1002D53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residential use where pier and pole construction is utilised:</w:t>
            </w:r>
          </w:p>
          <w:p w14:paraId="57BAB429" w14:textId="77777777" w:rsidR="00C90FC5" w:rsidRPr="00C90FC5" w:rsidRDefault="00C90FC5" w:rsidP="00C90FC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uses screening around the understorey of the dwelling;</w:t>
            </w:r>
          </w:p>
          <w:p w14:paraId="309E7B89" w14:textId="77777777" w:rsidR="00C90FC5" w:rsidRPr="00C90FC5" w:rsidRDefault="00C90FC5" w:rsidP="00C90FC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flood water through the understorey.</w:t>
            </w:r>
          </w:p>
        </w:tc>
        <w:tc>
          <w:tcPr>
            <w:tcW w:w="1671" w:type="dxa"/>
            <w:tcBorders>
              <w:top w:val="outset" w:sz="6" w:space="0" w:color="auto"/>
              <w:left w:val="outset" w:sz="6" w:space="0" w:color="auto"/>
              <w:bottom w:val="outset" w:sz="6" w:space="0" w:color="auto"/>
              <w:right w:val="outset" w:sz="6" w:space="0" w:color="auto"/>
            </w:tcBorders>
          </w:tcPr>
          <w:p w14:paraId="4AF60D2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5C63C84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4D190B74" w14:textId="77777777" w:rsidTr="001072FA">
        <w:trPr>
          <w:trHeight w:val="358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72D30551"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247FEF3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E9.2</w:t>
            </w:r>
          </w:p>
          <w:p w14:paraId="5B099F8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commercial building or structure maintains an active street frontage through:</w:t>
            </w:r>
          </w:p>
          <w:p w14:paraId="1B3A9408" w14:textId="77777777"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providing clear pedestrian access from any adjacent footpath to the floor level of the commercial activity;</w:t>
            </w:r>
          </w:p>
          <w:p w14:paraId="314DA60A" w14:textId="77777777"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providing a retail or food and beverage use, if consistent with the overall outcomes of the applicable zone and precinct, which interface with and overlook the street; or </w:t>
            </w:r>
          </w:p>
          <w:p w14:paraId="0AE78AC7" w14:textId="77777777" w:rsidR="00C90FC5" w:rsidRPr="00C90FC5" w:rsidRDefault="00C90FC5" w:rsidP="00C90FC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urban design treatments which screen the understorey of the building from view from the adjacent street frontage but must not impede storm tide flow.  </w:t>
            </w:r>
          </w:p>
        </w:tc>
        <w:tc>
          <w:tcPr>
            <w:tcW w:w="1671" w:type="dxa"/>
            <w:tcBorders>
              <w:top w:val="outset" w:sz="6" w:space="0" w:color="auto"/>
              <w:left w:val="outset" w:sz="6" w:space="0" w:color="auto"/>
              <w:bottom w:val="outset" w:sz="6" w:space="0" w:color="auto"/>
              <w:right w:val="outset" w:sz="6" w:space="0" w:color="auto"/>
            </w:tcBorders>
          </w:tcPr>
          <w:p w14:paraId="6FC3B02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4149F3C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501242CB" w14:textId="77777777" w:rsidTr="001072FA">
        <w:trPr>
          <w:trHeight w:val="1605"/>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54D940E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PO10</w:t>
            </w:r>
          </w:p>
          <w:p w14:paraId="2D9B96A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public safety and risk to the environment are not adversely affected by a detrimental impact of floodwaters up to the Defined Flood Event on a hazardous chemical located or stored on the premises. </w:t>
            </w:r>
          </w:p>
        </w:tc>
        <w:tc>
          <w:tcPr>
            <w:tcW w:w="6519" w:type="dxa"/>
            <w:tcBorders>
              <w:top w:val="outset" w:sz="6" w:space="0" w:color="auto"/>
              <w:left w:val="outset" w:sz="6" w:space="0" w:color="auto"/>
              <w:bottom w:val="outset" w:sz="6" w:space="0" w:color="auto"/>
              <w:right w:val="outset" w:sz="6" w:space="0" w:color="auto"/>
            </w:tcBorders>
            <w:hideMark/>
          </w:tcPr>
          <w:p w14:paraId="44EED84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E10.1</w:t>
            </w:r>
          </w:p>
          <w:p w14:paraId="19ED3A86"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hazardous chemical is located or stored at least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1AF088FD" w14:textId="77777777" w:rsidTr="001072FA">
              <w:trPr>
                <w:tblCellSpacing w:w="15" w:type="dxa"/>
              </w:trPr>
              <w:tc>
                <w:tcPr>
                  <w:tcW w:w="6342" w:type="dxa"/>
                  <w:vAlign w:val="center"/>
                  <w:hideMark/>
                </w:tcPr>
                <w:p w14:paraId="3CEAE8C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Refer to the </w:t>
                  </w:r>
                  <w:r w:rsidRPr="00C34DE8">
                    <w:rPr>
                      <w:rFonts w:ascii="Arial" w:eastAsia="Times New Roman" w:hAnsi="Arial" w:cs="Arial"/>
                      <w:i/>
                      <w:iCs/>
                      <w:sz w:val="18"/>
                      <w:szCs w:val="20"/>
                      <w:lang w:eastAsia="en-AU"/>
                    </w:rPr>
                    <w:t xml:space="preserve">Work Health and Safety Act 2011 </w:t>
                  </w:r>
                  <w:r w:rsidRPr="00C34DE8">
                    <w:rPr>
                      <w:rFonts w:ascii="Arial" w:eastAsia="Times New Roman" w:hAnsi="Arial" w:cs="Arial"/>
                      <w:sz w:val="18"/>
                      <w:szCs w:val="20"/>
                      <w:lang w:eastAsia="en-AU"/>
                    </w:rPr>
                    <w:t xml:space="preserve">and associated Regulation and Guidelines, the </w:t>
                  </w:r>
                  <w:r w:rsidRPr="00C34DE8">
                    <w:rPr>
                      <w:rFonts w:ascii="Arial" w:eastAsia="Times New Roman" w:hAnsi="Arial" w:cs="Arial"/>
                      <w:i/>
                      <w:iCs/>
                      <w:sz w:val="18"/>
                      <w:szCs w:val="20"/>
                      <w:lang w:eastAsia="en-AU"/>
                    </w:rPr>
                    <w:t xml:space="preserve">Environmental Protection Act 1994 </w:t>
                  </w:r>
                  <w:r w:rsidRPr="00C34DE8">
                    <w:rPr>
                      <w:rFonts w:ascii="Arial" w:eastAsia="Times New Roman" w:hAnsi="Arial" w:cs="Arial"/>
                      <w:sz w:val="18"/>
                      <w:szCs w:val="20"/>
                      <w:lang w:eastAsia="en-AU"/>
                    </w:rPr>
                    <w:t xml:space="preserve">and the relevant building assessment provisions under the </w:t>
                  </w:r>
                  <w:r w:rsidRPr="00C34DE8">
                    <w:rPr>
                      <w:rFonts w:ascii="Arial" w:eastAsia="Times New Roman" w:hAnsi="Arial" w:cs="Arial"/>
                      <w:i/>
                      <w:iCs/>
                      <w:sz w:val="18"/>
                      <w:szCs w:val="20"/>
                      <w:lang w:eastAsia="en-AU"/>
                    </w:rPr>
                    <w:t xml:space="preserve">Building Act 1975 </w:t>
                  </w:r>
                  <w:r w:rsidRPr="00C34DE8">
                    <w:rPr>
                      <w:rFonts w:ascii="Arial" w:eastAsia="Times New Roman" w:hAnsi="Arial" w:cs="Arial"/>
                      <w:sz w:val="18"/>
                      <w:szCs w:val="20"/>
                      <w:lang w:eastAsia="en-AU"/>
                    </w:rPr>
                    <w:t xml:space="preserve">for requirements related to the manufacture and storage of hazardous substances.  </w:t>
                  </w:r>
                </w:p>
              </w:tc>
            </w:tr>
          </w:tbl>
          <w:p w14:paraId="18C406F6"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334BD5E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F5A8E4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7B7A028F" w14:textId="77777777" w:rsidTr="001072FA">
        <w:trPr>
          <w:tblCellSpacing w:w="15" w:type="dxa"/>
        </w:trPr>
        <w:tc>
          <w:tcPr>
            <w:tcW w:w="15329"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799345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Material change of use or building work for all other land uses (other than a Dwelling house</w:t>
            </w:r>
            <w:r w:rsidRPr="00C90FC5">
              <w:rPr>
                <w:rFonts w:ascii="Arial" w:eastAsia="Times New Roman" w:hAnsi="Arial" w:cs="Arial"/>
                <w:b/>
                <w:bCs/>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90FC5">
                <w:rPr>
                  <w:rFonts w:ascii="Arial" w:eastAsia="Times New Roman" w:hAnsi="Arial" w:cs="Arial"/>
                  <w:color w:val="0000FF"/>
                  <w:sz w:val="20"/>
                  <w:szCs w:val="20"/>
                  <w:vertAlign w:val="superscript"/>
                  <w:lang w:eastAsia="en-AU"/>
                </w:rPr>
                <w:t>22</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in the Erosion Prone Area, High risk storm tide inundation area and Medium risk storm tide inundation area</w:t>
            </w:r>
          </w:p>
        </w:tc>
      </w:tr>
      <w:tr w:rsidR="00C90FC5" w:rsidRPr="00C90FC5" w14:paraId="58A426D8" w14:textId="77777777" w:rsidTr="001072FA">
        <w:trPr>
          <w:trHeight w:val="1679"/>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12C12C0D"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PO11</w:t>
            </w:r>
          </w:p>
          <w:p w14:paraId="17C3AB3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w:t>
            </w:r>
          </w:p>
          <w:p w14:paraId="488B40AE" w14:textId="77777777" w:rsidR="00C90FC5" w:rsidRPr="00C90FC5" w:rsidRDefault="00C90FC5" w:rsidP="00C90FC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limited in the High risk storm tide inundation area to avoid the intolerable risk of the coastal hazard;</w:t>
            </w:r>
          </w:p>
          <w:p w14:paraId="213D30CC" w14:textId="77777777" w:rsidR="00C90FC5" w:rsidRPr="00C90FC5" w:rsidRDefault="00C90FC5" w:rsidP="00C90FC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managed in the Erosion Prone Area and Medium risk storm tide inundation area to mitigate the </w:t>
            </w:r>
            <w:r w:rsidRPr="00C90FC5">
              <w:rPr>
                <w:rFonts w:ascii="Arial" w:eastAsia="Times New Roman" w:hAnsi="Arial" w:cs="Arial"/>
                <w:sz w:val="20"/>
                <w:szCs w:val="20"/>
                <w:lang w:eastAsia="en-AU"/>
              </w:rPr>
              <w:lastRenderedPageBreak/>
              <w:t xml:space="preserve">tolerable risk of the coastal hazard.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0093339E" w14:textId="77777777" w:rsidTr="001072FA">
              <w:trPr>
                <w:tblCellSpacing w:w="15" w:type="dxa"/>
              </w:trPr>
              <w:tc>
                <w:tcPr>
                  <w:tcW w:w="4782" w:type="dxa"/>
                  <w:vAlign w:val="center"/>
                  <w:hideMark/>
                </w:tcPr>
                <w:p w14:paraId="4385D6E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The overall outcomes of this code identify the development outcomes which are intended so as to avoid the intolerable or tolerable risk of the coastal hazard applicable to the premises in the relevant sub-categories of the Coastal planning area. </w:t>
                  </w:r>
                </w:p>
              </w:tc>
            </w:tr>
          </w:tbl>
          <w:p w14:paraId="2A2FEEFE"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0BF061C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1671" w:type="dxa"/>
            <w:tcBorders>
              <w:top w:val="outset" w:sz="6" w:space="0" w:color="auto"/>
              <w:left w:val="outset" w:sz="6" w:space="0" w:color="auto"/>
              <w:bottom w:val="outset" w:sz="6" w:space="0" w:color="auto"/>
              <w:right w:val="outset" w:sz="6" w:space="0" w:color="auto"/>
            </w:tcBorders>
          </w:tcPr>
          <w:p w14:paraId="1FE352D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6EEEC26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6578A4D2" w14:textId="77777777" w:rsidTr="001072FA">
        <w:trPr>
          <w:trHeight w:val="3975"/>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2C730AA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PO12</w:t>
            </w:r>
          </w:p>
          <w:p w14:paraId="546C8ED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maintains personal safety at all times, such that: </w:t>
            </w:r>
          </w:p>
          <w:p w14:paraId="63B1D18F" w14:textId="77777777"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vulnerable land use (flood and coastal) is not located in the Erosion Prone Area, High risk storm tide inundation area or the Medium risk storm tide inundation area; </w:t>
            </w:r>
          </w:p>
          <w:p w14:paraId="37C13EE8" w14:textId="77777777"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new buildings are not located in the High risk storm tide inundation area included in the Limited development zone;</w:t>
            </w:r>
          </w:p>
          <w:p w14:paraId="0B970999" w14:textId="77777777"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evacuation capability from the development or other premises is not hindered or made more complicated and there is no significant additional burden placed on emergency services personnel; </w:t>
            </w:r>
          </w:p>
          <w:p w14:paraId="3C57F8B7" w14:textId="77777777" w:rsidR="00C90FC5" w:rsidRPr="00C90FC5" w:rsidRDefault="00C90FC5" w:rsidP="00C90FC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the isolation of persons in the Defined Flood Event is avoided.</w:t>
            </w:r>
          </w:p>
        </w:tc>
        <w:tc>
          <w:tcPr>
            <w:tcW w:w="6519" w:type="dxa"/>
            <w:tcBorders>
              <w:top w:val="outset" w:sz="6" w:space="0" w:color="auto"/>
              <w:left w:val="outset" w:sz="6" w:space="0" w:color="auto"/>
              <w:bottom w:val="outset" w:sz="6" w:space="0" w:color="auto"/>
              <w:right w:val="outset" w:sz="6" w:space="0" w:color="auto"/>
            </w:tcBorders>
            <w:hideMark/>
          </w:tcPr>
          <w:p w14:paraId="15ED5EE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4E5F406D"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3737746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54F65AE6" w14:textId="77777777" w:rsidTr="001072FA">
        <w:trPr>
          <w:trHeight w:val="37"/>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6058089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PO13</w:t>
            </w:r>
          </w:p>
          <w:p w14:paraId="2C4E962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in the Erosion Prone Area only occurs on a lot zoned for urban purposes in a manner that:</w:t>
            </w:r>
          </w:p>
          <w:p w14:paraId="5DE3DF7D" w14:textId="77777777" w:rsidR="00C90FC5" w:rsidRPr="00C90FC5" w:rsidRDefault="00C90FC5" w:rsidP="00C90FC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accommodates natural coastal processes, including climate change and sea level rise;</w:t>
            </w:r>
          </w:p>
          <w:p w14:paraId="0A019F85" w14:textId="77777777" w:rsidR="00C90FC5" w:rsidRPr="00C90FC5" w:rsidRDefault="00C90FC5" w:rsidP="00C90FC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achieves the following: </w:t>
            </w:r>
          </w:p>
          <w:p w14:paraId="7B517460" w14:textId="77777777"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avoids coastal erosion risks; or</w:t>
            </w:r>
          </w:p>
          <w:p w14:paraId="7EEA7684" w14:textId="77777777"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manages coastal erosion risks through a strategy of planned retreat; or</w:t>
            </w:r>
          </w:p>
          <w:p w14:paraId="03D198AC" w14:textId="77777777" w:rsidR="00C90FC5" w:rsidRPr="00C90FC5" w:rsidRDefault="00C90FC5" w:rsidP="00C90FC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mitigates coastal erosion risks if there are no adverse local drainage impacts, flooding and coastal impacts on other premises, public land, watercourses, roads or infrastructure or impacts on natural riverine and coastal processes or flood warning times.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5373F5D5" w14:textId="77777777" w:rsidTr="001072FA">
              <w:trPr>
                <w:tblCellSpacing w:w="15" w:type="dxa"/>
              </w:trPr>
              <w:tc>
                <w:tcPr>
                  <w:tcW w:w="4782" w:type="dxa"/>
                  <w:vAlign w:val="center"/>
                  <w:hideMark/>
                </w:tcPr>
                <w:p w14:paraId="1ADAB58F"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14:paraId="22AABFC7"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0B8BEF2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E13</w:t>
            </w:r>
          </w:p>
          <w:p w14:paraId="1261F44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w:t>
            </w:r>
          </w:p>
          <w:p w14:paraId="52E3E941" w14:textId="77777777"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 xml:space="preserve">constitutes or includes temporary or relocatable structures, and these structures and the ongoing use of the premises are subject to the natural processes affecting the site; or </w:t>
            </w:r>
          </w:p>
          <w:p w14:paraId="0C7850B0" w14:textId="77777777"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installs and maintains coastal protection works to mitigate adverse impacts to people and property from coastal erosion within the premises in a manner which accommodates natural coastal processes without detrimental impacts on other premises; or </w:t>
            </w:r>
          </w:p>
          <w:p w14:paraId="7EBC1CE4" w14:textId="77777777" w:rsidR="00C90FC5" w:rsidRPr="00C90FC5" w:rsidRDefault="00C90FC5" w:rsidP="00C90FC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is located, designed and constructed to withstand the expected coastal erosion impacts.</w:t>
            </w:r>
          </w:p>
        </w:tc>
        <w:tc>
          <w:tcPr>
            <w:tcW w:w="1671" w:type="dxa"/>
            <w:tcBorders>
              <w:top w:val="outset" w:sz="6" w:space="0" w:color="auto"/>
              <w:left w:val="outset" w:sz="6" w:space="0" w:color="auto"/>
              <w:bottom w:val="outset" w:sz="6" w:space="0" w:color="auto"/>
              <w:right w:val="outset" w:sz="6" w:space="0" w:color="auto"/>
            </w:tcBorders>
          </w:tcPr>
          <w:p w14:paraId="11AD566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41D9A0B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0FE032A7" w14:textId="77777777" w:rsidTr="001072FA">
        <w:trPr>
          <w:trHeight w:val="6780"/>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14:paraId="0A0A170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PO14</w:t>
            </w:r>
          </w:p>
          <w:p w14:paraId="4022297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resilient to a coastal hazard event by ensuring design and built form account for the potential risks of the coastal event (including storm tide inundation, wave action and coastal erosion).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435F49B3" w14:textId="77777777" w:rsidTr="001072FA">
              <w:trPr>
                <w:trHeight w:val="1920"/>
                <w:tblCellSpacing w:w="15" w:type="dxa"/>
              </w:trPr>
              <w:tc>
                <w:tcPr>
                  <w:tcW w:w="4782" w:type="dxa"/>
                  <w:vAlign w:val="center"/>
                  <w:hideMark/>
                </w:tcPr>
                <w:p w14:paraId="799E2786"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w:t>
                  </w:r>
                  <w:hyperlink r:id="rId16" w:tgtFrame="_blank" w:tooltip="https://www.moretonbay.qld.gov.au/floodcheck/" w:history="1">
                    <w:r w:rsidRPr="00C34DE8">
                      <w:rPr>
                        <w:rFonts w:ascii="Arial" w:eastAsia="Times New Roman" w:hAnsi="Arial" w:cs="Arial"/>
                        <w:sz w:val="18"/>
                        <w:szCs w:val="20"/>
                        <w:u w:val="single"/>
                        <w:lang w:eastAsia="en-AU"/>
                      </w:rPr>
                      <w:t>https://www.moretonbay.qld.gov.au/floodcheck/</w:t>
                    </w:r>
                  </w:hyperlink>
                  <w:r w:rsidRPr="00C34DE8">
                    <w:rPr>
                      <w:rFonts w:ascii="Arial" w:eastAsia="Times New Roman" w:hAnsi="Arial" w:cs="Arial"/>
                      <w:sz w:val="18"/>
                      <w:szCs w:val="20"/>
                      <w:u w:val="single"/>
                      <w:lang w:eastAsia="en-AU"/>
                    </w:rPr>
                    <w:t>.</w:t>
                  </w:r>
                  <w:r w:rsidRPr="00C34DE8">
                    <w:rPr>
                      <w:rFonts w:ascii="Arial" w:eastAsia="Times New Roman" w:hAnsi="Arial" w:cs="Arial"/>
                      <w:sz w:val="18"/>
                      <w:szCs w:val="20"/>
                      <w:lang w:eastAsia="en-AU"/>
                    </w:rPr>
                    <w:t xml:space="preserve">  </w:t>
                  </w:r>
                </w:p>
              </w:tc>
            </w:tr>
            <w:tr w:rsidR="00C90FC5" w:rsidRPr="00C90FC5" w14:paraId="0F737EBE" w14:textId="77777777" w:rsidTr="001072FA">
              <w:trPr>
                <w:tblCellSpacing w:w="15" w:type="dxa"/>
              </w:trPr>
              <w:tc>
                <w:tcPr>
                  <w:tcW w:w="4782" w:type="dxa"/>
                  <w:vAlign w:val="center"/>
                  <w:hideMark/>
                </w:tcPr>
                <w:p w14:paraId="399B21FB"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14:paraId="5CD1E95B"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7BF239F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E14.1</w:t>
            </w:r>
          </w:p>
          <w:p w14:paraId="16A5FCB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Erosion Prone Area, High risk storm tide inundation area and Medium risk storm tide inundation area is in accordance with the following: </w:t>
            </w:r>
          </w:p>
          <w:p w14:paraId="78DCBF6F" w14:textId="77777777" w:rsidR="00C90FC5" w:rsidRPr="00C90FC5" w:rsidRDefault="00C90FC5" w:rsidP="00C90FC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 site based coastal engineering report from a suitably qualified Registered Professional Engineer Queensland which identifies the coastal hazard and the structural approach to be utilised for the building work;</w:t>
            </w:r>
          </w:p>
          <w:p w14:paraId="47A9060D" w14:textId="77777777" w:rsidR="00C90FC5" w:rsidRPr="00C90FC5" w:rsidRDefault="00C90FC5" w:rsidP="00C90FC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 structural engineering design which ensures that the building work and any associated earthworks are capable of withstanding the nature of the coastal hazard event to which the building will be subject.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294A33D9" w14:textId="77777777" w:rsidTr="001072FA">
              <w:trPr>
                <w:tblCellSpacing w:w="15" w:type="dxa"/>
              </w:trPr>
              <w:tc>
                <w:tcPr>
                  <w:tcW w:w="6342" w:type="dxa"/>
                  <w:vAlign w:val="center"/>
                  <w:hideMark/>
                </w:tcPr>
                <w:p w14:paraId="3A59FCF6"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 xml:space="preserve">Note - New buildings not on land already filled to the flood planning level will require a structural engineering design capable of withstanding the nature of the hazard(s) to which the building will be subject, to be supported a report (or multiple reports) prepared by a Registered Professional Engineer Queensland that identifies the coastal hazard and the structural approach to be utilised. Information on the risk of a coastal hazard for premises in the Coastal planning area is available on Council’s Flood Check </w:t>
                  </w:r>
                  <w:r w:rsidR="00787248" w:rsidRPr="00C34DE8">
                    <w:rPr>
                      <w:rFonts w:ascii="Arial" w:eastAsia="Times New Roman" w:hAnsi="Arial" w:cs="Arial"/>
                      <w:sz w:val="18"/>
                      <w:szCs w:val="20"/>
                      <w:lang w:eastAsia="en-AU"/>
                    </w:rPr>
                    <w:t>Development Report</w:t>
                  </w:r>
                  <w:r w:rsidRPr="00C34DE8">
                    <w:rPr>
                      <w:rFonts w:ascii="Arial" w:eastAsia="Times New Roman" w:hAnsi="Arial" w:cs="Arial"/>
                      <w:sz w:val="18"/>
                      <w:szCs w:val="20"/>
                      <w:lang w:eastAsia="en-AU"/>
                    </w:rPr>
                    <w:t xml:space="preserve"> via https://www.moretonbay.qld.gov.au/floodcheck/. </w:t>
                  </w:r>
                </w:p>
              </w:tc>
            </w:tr>
            <w:tr w:rsidR="00C90FC5" w:rsidRPr="00C90FC5" w14:paraId="73E9A6E6" w14:textId="77777777" w:rsidTr="001072FA">
              <w:trPr>
                <w:trHeight w:val="510"/>
                <w:tblCellSpacing w:w="15" w:type="dxa"/>
              </w:trPr>
              <w:tc>
                <w:tcPr>
                  <w:tcW w:w="6342" w:type="dxa"/>
                  <w:vAlign w:val="center"/>
                  <w:hideMark/>
                </w:tcPr>
                <w:p w14:paraId="1EB3D471"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t>Note -  Reporting to be prepared in accordance with Planning scheme policy - Flood hazard, Coastal hazard and Overland flow.</w:t>
                  </w:r>
                </w:p>
              </w:tc>
            </w:tr>
          </w:tbl>
          <w:p w14:paraId="65B4BA11"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6153096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499C651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18B32301"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2703E2B9"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5B1D939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Development involving building work for a residential use </w:t>
            </w:r>
            <w:r w:rsidRPr="00C90FC5">
              <w:rPr>
                <w:rFonts w:ascii="Arial" w:eastAsia="Times New Roman" w:hAnsi="Arial" w:cs="Arial"/>
                <w:sz w:val="20"/>
                <w:szCs w:val="20"/>
                <w:lang w:eastAsia="en-AU"/>
              </w:rPr>
              <w:t> </w:t>
            </w:r>
          </w:p>
        </w:tc>
      </w:tr>
      <w:tr w:rsidR="00C90FC5" w:rsidRPr="00C90FC5" w14:paraId="3CFA2947"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2B52A479"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1C7C77E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E14.2</w:t>
            </w:r>
          </w:p>
          <w:p w14:paraId="6E10600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habitable floor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1671" w:type="dxa"/>
            <w:tcBorders>
              <w:top w:val="outset" w:sz="6" w:space="0" w:color="auto"/>
              <w:left w:val="outset" w:sz="6" w:space="0" w:color="auto"/>
              <w:bottom w:val="outset" w:sz="6" w:space="0" w:color="auto"/>
              <w:right w:val="outset" w:sz="6" w:space="0" w:color="auto"/>
            </w:tcBorders>
          </w:tcPr>
          <w:p w14:paraId="05411CE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2DFF7A0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37412169"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640E597D"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158C024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Development involving building work for a non-residential use</w:t>
            </w:r>
          </w:p>
        </w:tc>
      </w:tr>
      <w:tr w:rsidR="00C90FC5" w:rsidRPr="00C90FC5" w14:paraId="4A5BF8F9"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58AB8007"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465B5FF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E14.3</w:t>
            </w:r>
          </w:p>
          <w:p w14:paraId="3A7C5A6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finished floor level is located, designed and constructed to at least the flood planning level in </w:t>
            </w:r>
            <w:r w:rsidRPr="00C34DE8">
              <w:rPr>
                <w:rFonts w:ascii="Arial" w:eastAsia="Times New Roman" w:hAnsi="Arial" w:cs="Arial"/>
                <w:sz w:val="20"/>
                <w:szCs w:val="20"/>
                <w:lang w:eastAsia="en-AU"/>
              </w:rPr>
              <w:t xml:space="preserve">Table 8.2.1.3. </w:t>
            </w:r>
          </w:p>
        </w:tc>
        <w:tc>
          <w:tcPr>
            <w:tcW w:w="1671" w:type="dxa"/>
            <w:tcBorders>
              <w:top w:val="outset" w:sz="6" w:space="0" w:color="auto"/>
              <w:left w:val="outset" w:sz="6" w:space="0" w:color="auto"/>
              <w:bottom w:val="outset" w:sz="6" w:space="0" w:color="auto"/>
              <w:right w:val="outset" w:sz="6" w:space="0" w:color="auto"/>
            </w:tcBorders>
          </w:tcPr>
          <w:p w14:paraId="4FA4B73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D15DA1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6E0A23F2"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456B3BDA"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3DE3FA6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Development involving building work for all uses </w:t>
            </w:r>
            <w:r w:rsidRPr="00C90FC5">
              <w:rPr>
                <w:rFonts w:ascii="Arial" w:eastAsia="Times New Roman" w:hAnsi="Arial" w:cs="Arial"/>
                <w:sz w:val="20"/>
                <w:szCs w:val="20"/>
                <w:lang w:eastAsia="en-AU"/>
              </w:rPr>
              <w:t> </w:t>
            </w:r>
          </w:p>
        </w:tc>
      </w:tr>
      <w:tr w:rsidR="00C90FC5" w:rsidRPr="00C90FC5" w14:paraId="34EAF238"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1611F5A6"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4A09A92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E14.4</w:t>
            </w:r>
          </w:p>
          <w:p w14:paraId="6FAB6B2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a fence is at least 50% permeable. </w:t>
            </w:r>
          </w:p>
        </w:tc>
        <w:tc>
          <w:tcPr>
            <w:tcW w:w="1671" w:type="dxa"/>
            <w:tcBorders>
              <w:top w:val="outset" w:sz="6" w:space="0" w:color="auto"/>
              <w:left w:val="outset" w:sz="6" w:space="0" w:color="auto"/>
              <w:bottom w:val="outset" w:sz="6" w:space="0" w:color="auto"/>
              <w:right w:val="outset" w:sz="6" w:space="0" w:color="auto"/>
            </w:tcBorders>
          </w:tcPr>
          <w:p w14:paraId="1E3A882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46869AB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061B2C36" w14:textId="77777777" w:rsidTr="001072FA">
        <w:trPr>
          <w:trHeight w:val="27"/>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345B129B"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24E589F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E14.5</w:t>
            </w:r>
          </w:p>
          <w:p w14:paraId="14EBAC4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building work for a non-habitable room located below the flood planning level </w:t>
            </w:r>
            <w:r w:rsidRPr="00C34DE8">
              <w:rPr>
                <w:rFonts w:ascii="Arial" w:eastAsia="Times New Roman" w:hAnsi="Arial" w:cs="Arial"/>
                <w:sz w:val="20"/>
                <w:szCs w:val="20"/>
                <w:lang w:eastAsia="en-AU"/>
              </w:rPr>
              <w:t xml:space="preserve">in Table 8.2.1.3 has </w:t>
            </w:r>
            <w:r w:rsidRPr="00C90FC5">
              <w:rPr>
                <w:rFonts w:ascii="Arial" w:eastAsia="Times New Roman" w:hAnsi="Arial" w:cs="Arial"/>
                <w:sz w:val="20"/>
                <w:szCs w:val="20"/>
                <w:lang w:eastAsia="en-AU"/>
              </w:rPr>
              <w:t xml:space="preserve">a high water resistance.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1C58BBCD" w14:textId="77777777" w:rsidTr="001072FA">
              <w:trPr>
                <w:tblCellSpacing w:w="15" w:type="dxa"/>
              </w:trPr>
              <w:tc>
                <w:tcPr>
                  <w:tcW w:w="6342" w:type="dxa"/>
                  <w:vAlign w:val="center"/>
                  <w:hideMark/>
                </w:tcPr>
                <w:p w14:paraId="303C821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r w:rsidR="00C34DE8" w:rsidRPr="00C34DE8">
                    <w:rPr>
                      <w:rFonts w:ascii="Arial" w:eastAsia="Times New Roman" w:hAnsi="Arial" w:cs="Arial"/>
                      <w:sz w:val="20"/>
                      <w:szCs w:val="20"/>
                      <w:u w:val="single"/>
                      <w:lang w:eastAsia="en-AU"/>
                    </w:rPr>
                    <w:t>http://www.hpw.qld.gov.au/SiteCollectionDocuments/WaterResilientProductsAndBuildingTechniquesForRebuildingAfterAFlood.pdf</w:t>
                  </w:r>
                </w:p>
              </w:tc>
            </w:tr>
          </w:tbl>
          <w:p w14:paraId="13296777"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3672F85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3AE706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7DC9ABA0" w14:textId="77777777"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5B7BD2C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PO15</w:t>
            </w:r>
          </w:p>
          <w:p w14:paraId="3852213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where earthworks alone cannot ensure the development achieves the flood planning level in </w:t>
            </w:r>
            <w:r w:rsidRPr="00C34DE8">
              <w:rPr>
                <w:rFonts w:ascii="Arial" w:eastAsia="Times New Roman" w:hAnsi="Arial" w:cs="Arial"/>
                <w:sz w:val="20"/>
                <w:szCs w:val="20"/>
                <w:lang w:eastAsia="en-AU"/>
              </w:rPr>
              <w:t>Table 8.2.1.3</w:t>
            </w:r>
            <w:r w:rsidRPr="00C90FC5">
              <w:rPr>
                <w:rFonts w:ascii="Arial" w:eastAsia="Times New Roman" w:hAnsi="Arial" w:cs="Arial"/>
                <w:sz w:val="20"/>
                <w:szCs w:val="20"/>
                <w:lang w:eastAsia="en-AU"/>
              </w:rPr>
              <w:t xml:space="preserve">, a building is designed and constructed using pier and pole construction to achieve the required storm tide immunity in the Defined Flood Event. </w:t>
            </w:r>
          </w:p>
        </w:tc>
        <w:tc>
          <w:tcPr>
            <w:tcW w:w="6519" w:type="dxa"/>
            <w:tcBorders>
              <w:top w:val="outset" w:sz="6" w:space="0" w:color="auto"/>
              <w:left w:val="outset" w:sz="6" w:space="0" w:color="auto"/>
              <w:bottom w:val="outset" w:sz="6" w:space="0" w:color="auto"/>
              <w:right w:val="outset" w:sz="6" w:space="0" w:color="auto"/>
            </w:tcBorders>
            <w:hideMark/>
          </w:tcPr>
          <w:p w14:paraId="41D11DA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tc>
        <w:tc>
          <w:tcPr>
            <w:tcW w:w="1671" w:type="dxa"/>
            <w:tcBorders>
              <w:top w:val="outset" w:sz="6" w:space="0" w:color="auto"/>
              <w:left w:val="outset" w:sz="6" w:space="0" w:color="auto"/>
              <w:bottom w:val="outset" w:sz="6" w:space="0" w:color="auto"/>
              <w:right w:val="outset" w:sz="6" w:space="0" w:color="auto"/>
            </w:tcBorders>
          </w:tcPr>
          <w:p w14:paraId="0E6BBEB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567FBED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3CD8C024" w14:textId="77777777" w:rsidTr="001072FA">
        <w:trPr>
          <w:trHeight w:val="1112"/>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3CCA11A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PO16</w:t>
            </w:r>
          </w:p>
          <w:p w14:paraId="2F154A7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does not:</w:t>
            </w:r>
          </w:p>
          <w:p w14:paraId="5ED622D9" w14:textId="77777777" w:rsidR="00C90FC5" w:rsidRPr="00C90FC5" w:rsidRDefault="00C90FC5" w:rsidP="00C90FC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directly, indirectly and cumulatively cause any increase in water flow velocity or level;</w:t>
            </w:r>
          </w:p>
          <w:p w14:paraId="5803CF73" w14:textId="77777777" w:rsidR="00C90FC5" w:rsidRPr="00C90FC5" w:rsidRDefault="00C90FC5" w:rsidP="00C90FC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does not increase the potential for erosion, scour or flood damage either on-site or on a surrounding property, public land, watercourse, road or infrastructure or elsewhere in the floodplain.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34DE8" w14:paraId="480946AF" w14:textId="77777777" w:rsidTr="001072FA">
              <w:trPr>
                <w:tblCellSpacing w:w="15" w:type="dxa"/>
              </w:trPr>
              <w:tc>
                <w:tcPr>
                  <w:tcW w:w="4782" w:type="dxa"/>
                  <w:vAlign w:val="center"/>
                  <w:hideMark/>
                </w:tcPr>
                <w:p w14:paraId="253A48D8"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18"/>
                      <w:szCs w:val="20"/>
                      <w:lang w:eastAsia="en-AU"/>
                    </w:rPr>
                  </w:pPr>
                  <w:r w:rsidRPr="00C34DE8">
                    <w:rPr>
                      <w:rFonts w:ascii="Arial" w:eastAsia="Times New Roman" w:hAnsi="Arial" w:cs="Arial"/>
                      <w:sz w:val="18"/>
                      <w:szCs w:val="20"/>
                      <w:lang w:eastAsia="en-AU"/>
                    </w:rPr>
                    <w:lastRenderedPageBreak/>
                    <w:t xml:space="preserve">Note - To demonstrate achievement of the performance outcome, an engineering report is to be prepared by a suitably qualified person.  Guidance on the matters to be addressed in the report is provided in Planning scheme policy - Flood hazard, Coastal hazard and Overland flow. </w:t>
                  </w:r>
                </w:p>
              </w:tc>
            </w:tr>
          </w:tbl>
          <w:p w14:paraId="26E9749A"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652B074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1671" w:type="dxa"/>
            <w:tcBorders>
              <w:top w:val="outset" w:sz="6" w:space="0" w:color="auto"/>
              <w:left w:val="outset" w:sz="6" w:space="0" w:color="auto"/>
              <w:bottom w:val="outset" w:sz="6" w:space="0" w:color="auto"/>
              <w:right w:val="outset" w:sz="6" w:space="0" w:color="auto"/>
            </w:tcBorders>
          </w:tcPr>
          <w:p w14:paraId="3EC3AFC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43BFFF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65E48956" w14:textId="77777777"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624FEB2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PO17</w:t>
            </w:r>
          </w:p>
          <w:p w14:paraId="2EFC713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supports, and does not unduly burden, disaster management responses and recovery capacity and capabilities for a coastal hazard event up to and including the Defined Flood Event.</w:t>
            </w:r>
          </w:p>
        </w:tc>
        <w:tc>
          <w:tcPr>
            <w:tcW w:w="6519" w:type="dxa"/>
            <w:tcBorders>
              <w:top w:val="outset" w:sz="6" w:space="0" w:color="auto"/>
              <w:left w:val="outset" w:sz="6" w:space="0" w:color="auto"/>
              <w:bottom w:val="outset" w:sz="6" w:space="0" w:color="auto"/>
              <w:right w:val="outset" w:sz="6" w:space="0" w:color="auto"/>
            </w:tcBorders>
            <w:hideMark/>
          </w:tcPr>
          <w:p w14:paraId="258EFF4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79E318A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1835E02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3D0450B6" w14:textId="77777777"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0B75944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PO18</w:t>
            </w:r>
          </w:p>
          <w:p w14:paraId="38C6B1E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has access which, having regard to the hydraulic hazard, provides for safe vehicular and pedestrian movement and emergency services access. </w:t>
            </w:r>
          </w:p>
        </w:tc>
        <w:tc>
          <w:tcPr>
            <w:tcW w:w="6519" w:type="dxa"/>
            <w:tcBorders>
              <w:top w:val="outset" w:sz="6" w:space="0" w:color="auto"/>
              <w:left w:val="outset" w:sz="6" w:space="0" w:color="auto"/>
              <w:bottom w:val="outset" w:sz="6" w:space="0" w:color="auto"/>
              <w:right w:val="outset" w:sz="6" w:space="0" w:color="auto"/>
            </w:tcBorders>
            <w:hideMark/>
          </w:tcPr>
          <w:p w14:paraId="39A2B3C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31D84F4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5266638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236D806F" w14:textId="77777777" w:rsidTr="001072FA">
        <w:trPr>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14:paraId="699931D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PO19</w:t>
            </w:r>
          </w:p>
          <w:p w14:paraId="35197872" w14:textId="77777777" w:rsidR="00C90FC5" w:rsidRPr="00C90FC5" w:rsidRDefault="00C90FC5" w:rsidP="00DF2958">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use which requires an interface with the public realm (including a commercial and residential use) maintains a functional and attractive relationship with the adjacent street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69056874" w14:textId="77777777" w:rsidTr="001072FA">
              <w:trPr>
                <w:tblCellSpacing w:w="15" w:type="dxa"/>
              </w:trPr>
              <w:tc>
                <w:tcPr>
                  <w:tcW w:w="4782" w:type="dxa"/>
                  <w:vAlign w:val="center"/>
                  <w:hideMark/>
                </w:tcPr>
                <w:p w14:paraId="2D2E6C8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lastRenderedPageBreak/>
                    <w:t xml:space="preserve">Note - This is particularly relevant for commercial uses in centres with a strong ‘town-centre’ pedestrian realm that also may be affected by flood, or for residential uses to maintain an attractive presentation to the street. </w:t>
                  </w:r>
                </w:p>
              </w:tc>
            </w:tr>
          </w:tbl>
          <w:p w14:paraId="0F8510F2"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7EE7CF7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E19.1</w:t>
            </w:r>
          </w:p>
          <w:p w14:paraId="1E0F8B0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for a residential </w:t>
            </w:r>
            <w:r w:rsidR="00787248">
              <w:rPr>
                <w:rFonts w:ascii="Arial" w:eastAsia="Times New Roman" w:hAnsi="Arial" w:cs="Arial"/>
                <w:sz w:val="20"/>
                <w:szCs w:val="20"/>
                <w:lang w:eastAsia="en-AU"/>
              </w:rPr>
              <w:t>accommodation building</w:t>
            </w:r>
            <w:r w:rsidRPr="00C90FC5">
              <w:rPr>
                <w:rFonts w:ascii="Arial" w:eastAsia="Times New Roman" w:hAnsi="Arial" w:cs="Arial"/>
                <w:sz w:val="20"/>
                <w:szCs w:val="20"/>
                <w:lang w:eastAsia="en-AU"/>
              </w:rPr>
              <w:t xml:space="preserve"> where pier and pole construction is utilised:</w:t>
            </w:r>
          </w:p>
          <w:p w14:paraId="55559ABB" w14:textId="77777777" w:rsidR="00C90FC5" w:rsidRPr="00C90FC5" w:rsidRDefault="00C90FC5" w:rsidP="00C90FC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uses screening around the understorey of the dwelling that is a minimum of 50% permeable to ensure the understorey is not visible from the street; </w:t>
            </w:r>
          </w:p>
          <w:p w14:paraId="501DD631" w14:textId="77777777" w:rsidR="00C90FC5" w:rsidRPr="00C90FC5" w:rsidRDefault="00C90FC5" w:rsidP="00C90FC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allows for the flow of storm tide water through the understorey.</w:t>
            </w:r>
          </w:p>
        </w:tc>
        <w:tc>
          <w:tcPr>
            <w:tcW w:w="1671" w:type="dxa"/>
            <w:tcBorders>
              <w:top w:val="outset" w:sz="6" w:space="0" w:color="auto"/>
              <w:left w:val="outset" w:sz="6" w:space="0" w:color="auto"/>
              <w:bottom w:val="outset" w:sz="6" w:space="0" w:color="auto"/>
              <w:right w:val="outset" w:sz="6" w:space="0" w:color="auto"/>
            </w:tcBorders>
          </w:tcPr>
          <w:p w14:paraId="23AF02F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0C11D6E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322D3FCD" w14:textId="77777777" w:rsidTr="001072FA">
        <w:trPr>
          <w:trHeight w:val="288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3AE4DE1E"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7929FCC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E19.2</w:t>
            </w:r>
          </w:p>
          <w:p w14:paraId="5AD3ADB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commercial building and structure maintains an active street frontage through:</w:t>
            </w:r>
          </w:p>
          <w:p w14:paraId="05BB571D" w14:textId="77777777"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providing clear pedestrian access from any adjacent footpath to the floor level of the commercial activity;</w:t>
            </w:r>
          </w:p>
          <w:p w14:paraId="7F09B804" w14:textId="77777777"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providing a retail or food and beverage use, if consistent with the overall outcomes of the applicable zone and precinct, which interfaces with and overlooks the street; or </w:t>
            </w:r>
          </w:p>
          <w:p w14:paraId="32E57268" w14:textId="77777777" w:rsidR="00C90FC5" w:rsidRPr="00C90FC5" w:rsidRDefault="00C90FC5" w:rsidP="00C90FC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urban design treatments which screen the understorey of the building from view from the adjacent street frontage but do not impede storm tide flow. </w:t>
            </w:r>
          </w:p>
        </w:tc>
        <w:tc>
          <w:tcPr>
            <w:tcW w:w="1671" w:type="dxa"/>
            <w:tcBorders>
              <w:top w:val="outset" w:sz="6" w:space="0" w:color="auto"/>
              <w:left w:val="outset" w:sz="6" w:space="0" w:color="auto"/>
              <w:bottom w:val="outset" w:sz="6" w:space="0" w:color="auto"/>
              <w:right w:val="outset" w:sz="6" w:space="0" w:color="auto"/>
            </w:tcBorders>
          </w:tcPr>
          <w:p w14:paraId="2762CA7D"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13FED48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F2958" w:rsidRPr="00C90FC5" w14:paraId="43A31AA6" w14:textId="77777777" w:rsidTr="001072FA">
        <w:trPr>
          <w:trHeight w:val="2880"/>
          <w:tblCellSpacing w:w="15" w:type="dxa"/>
        </w:trPr>
        <w:tc>
          <w:tcPr>
            <w:tcW w:w="3746" w:type="dxa"/>
            <w:tcBorders>
              <w:top w:val="outset" w:sz="6" w:space="0" w:color="auto"/>
              <w:left w:val="outset" w:sz="6" w:space="0" w:color="auto"/>
              <w:bottom w:val="outset" w:sz="6" w:space="0" w:color="auto"/>
              <w:right w:val="outset" w:sz="6" w:space="0" w:color="auto"/>
            </w:tcBorders>
            <w:vAlign w:val="center"/>
          </w:tcPr>
          <w:p w14:paraId="0CF56AC0" w14:textId="77777777" w:rsidR="00DF2958" w:rsidRDefault="00DF2958" w:rsidP="00DF2958">
            <w:pPr>
              <w:spacing w:before="100" w:beforeAutospacing="1" w:after="100" w:afterAutospacing="1" w:line="240" w:lineRule="auto"/>
              <w:ind w:left="153" w:right="153"/>
              <w:rPr>
                <w:rFonts w:ascii="Arial" w:eastAsia="Times New Roman" w:hAnsi="Arial" w:cs="Arial"/>
                <w:b/>
                <w:sz w:val="20"/>
                <w:szCs w:val="20"/>
                <w:lang w:eastAsia="en-AU"/>
              </w:rPr>
            </w:pPr>
            <w:r w:rsidRPr="00787248">
              <w:rPr>
                <w:rFonts w:ascii="Arial" w:eastAsia="Times New Roman" w:hAnsi="Arial" w:cs="Arial"/>
                <w:b/>
                <w:sz w:val="20"/>
                <w:szCs w:val="20"/>
                <w:lang w:eastAsia="en-AU"/>
              </w:rPr>
              <w:t xml:space="preserve">PO20 </w:t>
            </w:r>
          </w:p>
          <w:p w14:paraId="3E0D01F8" w14:textId="77777777" w:rsidR="00DF2958" w:rsidRDefault="00DF2958" w:rsidP="00DF2958">
            <w:pPr>
              <w:spacing w:before="100" w:beforeAutospacing="1" w:after="100" w:afterAutospacing="1" w:line="240" w:lineRule="auto"/>
              <w:ind w:left="153" w:right="153"/>
              <w:rPr>
                <w:rFonts w:ascii="Arial" w:eastAsia="Times New Roman" w:hAnsi="Arial" w:cs="Arial"/>
                <w:sz w:val="20"/>
                <w:szCs w:val="20"/>
                <w:lang w:eastAsia="en-AU"/>
              </w:rPr>
            </w:pPr>
            <w:r w:rsidRPr="00787248">
              <w:rPr>
                <w:rFonts w:ascii="Arial" w:eastAsia="Times New Roman" w:hAnsi="Arial" w:cs="Arial"/>
                <w:sz w:val="20"/>
                <w:szCs w:val="20"/>
                <w:lang w:eastAsia="en-AU"/>
              </w:rPr>
              <w:t>Development ensures that an essential electrical service</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is located to achieve the required storm tide immunity in</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the Defined Flood Event and maintain public safety at all</w:t>
            </w:r>
            <w:r>
              <w:rPr>
                <w:rFonts w:ascii="Arial" w:eastAsia="Times New Roman" w:hAnsi="Arial" w:cs="Arial"/>
                <w:sz w:val="20"/>
                <w:szCs w:val="20"/>
                <w:lang w:eastAsia="en-AU"/>
              </w:rPr>
              <w:t xml:space="preserve"> </w:t>
            </w:r>
            <w:r w:rsidRPr="00787248">
              <w:rPr>
                <w:rFonts w:ascii="Arial" w:eastAsia="Times New Roman" w:hAnsi="Arial" w:cs="Arial"/>
                <w:sz w:val="20"/>
                <w:szCs w:val="20"/>
                <w:lang w:eastAsia="en-AU"/>
              </w:rPr>
              <w:t>times.</w:t>
            </w:r>
          </w:p>
          <w:p w14:paraId="1411661B" w14:textId="77777777" w:rsidR="00DF2958" w:rsidRPr="00C90FC5" w:rsidRDefault="00DF2958" w:rsidP="00C34DE8">
            <w:pPr>
              <w:spacing w:before="100" w:beforeAutospacing="1" w:after="100" w:afterAutospacing="1" w:line="240" w:lineRule="auto"/>
              <w:ind w:left="153"/>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An essential electrical service includes services defined as utilities and customer dedicated substation (80) in Mandatory Part 3.5 </w:t>
            </w:r>
            <w:r w:rsidRPr="00C34DE8">
              <w:rPr>
                <w:rFonts w:ascii="Arial" w:eastAsia="Times New Roman" w:hAnsi="Arial" w:cs="Arial" w:hint="eastAsia"/>
                <w:sz w:val="18"/>
                <w:szCs w:val="20"/>
                <w:lang w:eastAsia="en-AU"/>
              </w:rPr>
              <w:t>–</w:t>
            </w:r>
            <w:r w:rsidRPr="00C34DE8">
              <w:rPr>
                <w:rFonts w:ascii="Arial" w:eastAsia="Times New Roman" w:hAnsi="Arial" w:cs="Arial"/>
                <w:sz w:val="18"/>
                <w:szCs w:val="20"/>
                <w:lang w:eastAsia="en-AU"/>
              </w:rPr>
              <w:t xml:space="preserve"> Construction of buildings in flood hazard areas of the Queensland Development Code.</w:t>
            </w:r>
          </w:p>
        </w:tc>
        <w:tc>
          <w:tcPr>
            <w:tcW w:w="6519" w:type="dxa"/>
            <w:tcBorders>
              <w:top w:val="outset" w:sz="6" w:space="0" w:color="auto"/>
              <w:left w:val="outset" w:sz="6" w:space="0" w:color="auto"/>
              <w:bottom w:val="outset" w:sz="6" w:space="0" w:color="auto"/>
              <w:right w:val="outset" w:sz="6" w:space="0" w:color="auto"/>
            </w:tcBorders>
          </w:tcPr>
          <w:p w14:paraId="7A86D992" w14:textId="77777777" w:rsidR="00DF2958" w:rsidRDefault="00DF2958" w:rsidP="00DF29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E20</w:t>
            </w:r>
          </w:p>
          <w:p w14:paraId="2255A5FC" w14:textId="77777777" w:rsidR="00DF2958" w:rsidRPr="00DF2958" w:rsidRDefault="00DF2958" w:rsidP="00DF2958">
            <w:pPr>
              <w:spacing w:before="100" w:beforeAutospacing="1" w:after="100" w:afterAutospacing="1" w:line="240" w:lineRule="auto"/>
              <w:ind w:left="150" w:right="150"/>
              <w:rPr>
                <w:rFonts w:ascii="Arial" w:eastAsia="Times New Roman" w:hAnsi="Arial" w:cs="Arial"/>
                <w:bCs/>
                <w:sz w:val="20"/>
                <w:szCs w:val="20"/>
                <w:lang w:eastAsia="en-AU"/>
              </w:rPr>
            </w:pPr>
            <w:r w:rsidRPr="00DF2958">
              <w:rPr>
                <w:rFonts w:ascii="Arial" w:eastAsia="Times New Roman" w:hAnsi="Arial" w:cs="Arial"/>
                <w:bCs/>
                <w:sz w:val="20"/>
                <w:szCs w:val="20"/>
                <w:lang w:eastAsia="en-AU"/>
              </w:rPr>
              <w:t>Development ensures that an essential electrical service is located above the flood planning level.</w:t>
            </w:r>
          </w:p>
          <w:p w14:paraId="4ACD7669" w14:textId="77777777" w:rsidR="00DF2958" w:rsidRPr="00C90FC5" w:rsidRDefault="00DF2958" w:rsidP="00DF2958">
            <w:pPr>
              <w:spacing w:before="100" w:beforeAutospacing="1" w:after="100" w:afterAutospacing="1" w:line="240" w:lineRule="auto"/>
              <w:ind w:left="150" w:right="150"/>
              <w:rPr>
                <w:rFonts w:ascii="Arial" w:eastAsia="Times New Roman" w:hAnsi="Arial" w:cs="Arial"/>
                <w:b/>
                <w:bCs/>
                <w:sz w:val="20"/>
                <w:szCs w:val="20"/>
                <w:lang w:eastAsia="en-AU"/>
              </w:rPr>
            </w:pPr>
            <w:r w:rsidRPr="00C34DE8">
              <w:rPr>
                <w:rFonts w:ascii="Arial" w:eastAsia="Times New Roman" w:hAnsi="Arial" w:cs="Arial"/>
                <w:bCs/>
                <w:sz w:val="18"/>
                <w:szCs w:val="20"/>
                <w:lang w:eastAsia="en-AU"/>
              </w:rPr>
              <w:t xml:space="preserve">Note - An essential electrical service includes services defined as utilities and customer dedicated substation (80) in Mandatory Part 3.5 </w:t>
            </w:r>
            <w:r w:rsidRPr="00C34DE8">
              <w:rPr>
                <w:rFonts w:ascii="Arial" w:eastAsia="Times New Roman" w:hAnsi="Arial" w:cs="Arial" w:hint="eastAsia"/>
                <w:bCs/>
                <w:sz w:val="18"/>
                <w:szCs w:val="20"/>
                <w:lang w:eastAsia="en-AU"/>
              </w:rPr>
              <w:t>–</w:t>
            </w:r>
            <w:r w:rsidRPr="00C34DE8">
              <w:rPr>
                <w:rFonts w:ascii="Arial" w:eastAsia="Times New Roman" w:hAnsi="Arial" w:cs="Arial"/>
                <w:bCs/>
                <w:sz w:val="18"/>
                <w:szCs w:val="20"/>
                <w:lang w:eastAsia="en-AU"/>
              </w:rPr>
              <w:t xml:space="preserve"> Construction of buildings in flood hazard areas of the Queensland Development Code.</w:t>
            </w:r>
          </w:p>
        </w:tc>
        <w:tc>
          <w:tcPr>
            <w:tcW w:w="1671" w:type="dxa"/>
            <w:tcBorders>
              <w:top w:val="outset" w:sz="6" w:space="0" w:color="auto"/>
              <w:left w:val="outset" w:sz="6" w:space="0" w:color="auto"/>
              <w:bottom w:val="outset" w:sz="6" w:space="0" w:color="auto"/>
              <w:right w:val="outset" w:sz="6" w:space="0" w:color="auto"/>
            </w:tcBorders>
          </w:tcPr>
          <w:p w14:paraId="47446705" w14:textId="77777777" w:rsidR="00DF2958" w:rsidRPr="00C90FC5" w:rsidRDefault="00DF2958"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26311298" w14:textId="77777777" w:rsidR="00DF2958" w:rsidRPr="00C90FC5" w:rsidRDefault="00DF2958"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24A54136" w14:textId="77777777"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3422C7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Reconfiguring a lot (boundary realignment)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14:paraId="7CAFD89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14:paraId="01152E7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225591D1" w14:textId="77777777" w:rsidTr="001072FA">
        <w:trPr>
          <w:trHeight w:val="1813"/>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14:paraId="72C3794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9E61E9">
              <w:rPr>
                <w:rFonts w:ascii="Arial" w:eastAsia="Times New Roman" w:hAnsi="Arial" w:cs="Arial"/>
                <w:b/>
                <w:bCs/>
                <w:sz w:val="20"/>
                <w:szCs w:val="20"/>
                <w:lang w:eastAsia="en-AU"/>
              </w:rPr>
              <w:t>1</w:t>
            </w:r>
          </w:p>
          <w:p w14:paraId="500F804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is designed to:</w:t>
            </w:r>
          </w:p>
          <w:p w14:paraId="7DB8F4F0" w14:textId="77777777"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ensure personal safety at all times;</w:t>
            </w:r>
          </w:p>
          <w:p w14:paraId="3B999087" w14:textId="77777777"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 xml:space="preserve">not increase the potential for erosion, scour or flood damage either on the premises or other premises, public land, watercourses, roads or infrastructure or elsewhere in the floodplain; </w:t>
            </w:r>
          </w:p>
          <w:p w14:paraId="0D4A4FE8" w14:textId="77777777" w:rsidR="00C90FC5" w:rsidRPr="00C90FC5" w:rsidRDefault="00C90FC5" w:rsidP="00C90FC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 increase the risk to people, property and infrastructure located on the premises and other premises and where applicable the risk for future occupants is mitigated.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4352CAEF" w14:textId="77777777" w:rsidTr="001072FA">
              <w:trPr>
                <w:tblCellSpacing w:w="15" w:type="dxa"/>
              </w:trPr>
              <w:tc>
                <w:tcPr>
                  <w:tcW w:w="4782" w:type="dxa"/>
                  <w:vAlign w:val="center"/>
                  <w:hideMark/>
                </w:tcPr>
                <w:p w14:paraId="76E827F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14:paraId="5A400B50"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65FEE9C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E2</w:t>
            </w:r>
            <w:r w:rsidR="009E61E9">
              <w:rPr>
                <w:rFonts w:ascii="Arial" w:eastAsia="Times New Roman" w:hAnsi="Arial" w:cs="Arial"/>
                <w:b/>
                <w:bCs/>
                <w:sz w:val="20"/>
                <w:szCs w:val="20"/>
                <w:lang w:eastAsia="en-AU"/>
              </w:rPr>
              <w:t>1</w:t>
            </w:r>
            <w:r w:rsidRPr="00C90FC5">
              <w:rPr>
                <w:rFonts w:ascii="Arial" w:eastAsia="Times New Roman" w:hAnsi="Arial" w:cs="Arial"/>
                <w:b/>
                <w:bCs/>
                <w:sz w:val="20"/>
                <w:szCs w:val="20"/>
                <w:lang w:eastAsia="en-AU"/>
              </w:rPr>
              <w:t>.1</w:t>
            </w:r>
          </w:p>
          <w:p w14:paraId="7F5A8E5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the development footprint is located in an area other than a High risk storm tide inundation area or Erosion Prone Area. </w:t>
            </w:r>
          </w:p>
        </w:tc>
        <w:tc>
          <w:tcPr>
            <w:tcW w:w="1671" w:type="dxa"/>
            <w:tcBorders>
              <w:top w:val="outset" w:sz="6" w:space="0" w:color="auto"/>
              <w:left w:val="outset" w:sz="6" w:space="0" w:color="auto"/>
              <w:bottom w:val="outset" w:sz="6" w:space="0" w:color="auto"/>
              <w:right w:val="outset" w:sz="6" w:space="0" w:color="auto"/>
            </w:tcBorders>
          </w:tcPr>
          <w:p w14:paraId="5012A74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6A7E6F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746E4DDE" w14:textId="77777777" w:rsidTr="001072FA">
        <w:trPr>
          <w:trHeight w:val="312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47C7B5FF"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539DE4E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9E61E9">
              <w:rPr>
                <w:rFonts w:ascii="Arial" w:eastAsia="Times New Roman" w:hAnsi="Arial" w:cs="Arial"/>
                <w:b/>
                <w:bCs/>
                <w:sz w:val="20"/>
                <w:szCs w:val="20"/>
                <w:lang w:eastAsia="en-AU"/>
              </w:rPr>
              <w:t>1</w:t>
            </w:r>
            <w:r w:rsidRPr="00C90FC5">
              <w:rPr>
                <w:rFonts w:ascii="Arial" w:eastAsia="Times New Roman" w:hAnsi="Arial" w:cs="Arial"/>
                <w:b/>
                <w:bCs/>
                <w:sz w:val="20"/>
                <w:szCs w:val="20"/>
                <w:lang w:eastAsia="en-AU"/>
              </w:rPr>
              <w:t>.2</w:t>
            </w:r>
          </w:p>
          <w:p w14:paraId="6B62857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the entry points into the development are located to provide a safe and clear evacuation route path.</w:t>
            </w:r>
          </w:p>
        </w:tc>
        <w:tc>
          <w:tcPr>
            <w:tcW w:w="1671" w:type="dxa"/>
            <w:tcBorders>
              <w:top w:val="outset" w:sz="6" w:space="0" w:color="auto"/>
              <w:left w:val="outset" w:sz="6" w:space="0" w:color="auto"/>
              <w:bottom w:val="outset" w:sz="6" w:space="0" w:color="auto"/>
              <w:right w:val="outset" w:sz="6" w:space="0" w:color="auto"/>
            </w:tcBorders>
          </w:tcPr>
          <w:p w14:paraId="3DA8395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9ACC77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614FFA15" w14:textId="77777777"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46AE2BD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Reconfiguring a lot (other than by boundary realignment)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14:paraId="22D5C4F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14:paraId="7DF2A92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7987C2E2" w14:textId="77777777" w:rsidTr="001072FA">
        <w:trPr>
          <w:trHeight w:val="6360"/>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5439EB6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PO2</w:t>
            </w:r>
            <w:r w:rsidR="00221DA7">
              <w:rPr>
                <w:rFonts w:ascii="Arial" w:eastAsia="Times New Roman" w:hAnsi="Arial" w:cs="Arial"/>
                <w:b/>
                <w:bCs/>
                <w:sz w:val="20"/>
                <w:szCs w:val="20"/>
                <w:lang w:eastAsia="en-AU"/>
              </w:rPr>
              <w:t>2</w:t>
            </w:r>
          </w:p>
          <w:p w14:paraId="4D084D8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is compatible with the intolerable or tolerable level of risk of the coastal hazard applicable to the premises such that reconfiguring a lot for creating lots by subdividing another lot: </w:t>
            </w:r>
          </w:p>
          <w:p w14:paraId="5292BA43" w14:textId="77777777"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Erosion Prone Area, is only for the purpose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unless all resultant lots provide the required minimum lot size outside the Erosion Prone Area;         </w:t>
            </w:r>
          </w:p>
          <w:p w14:paraId="62007919" w14:textId="77777777"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High risk storm tide inundation area, is only for the purposes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unless: </w:t>
            </w:r>
          </w:p>
          <w:p w14:paraId="4732AF57" w14:textId="77777777"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Rural residential zone where the minimum lot size for each rural residential lot is provided outside the High risk storm tide inundation area; or </w:t>
            </w:r>
          </w:p>
          <w:p w14:paraId="7E7D6EB9" w14:textId="77777777"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in the Rural zone</w:t>
            </w:r>
            <w:r w:rsidR="009E61E9">
              <w:rPr>
                <w:rFonts w:ascii="Arial" w:eastAsia="Times New Roman" w:hAnsi="Arial" w:cs="Arial"/>
                <w:sz w:val="20"/>
                <w:szCs w:val="20"/>
                <w:lang w:eastAsia="en-AU"/>
              </w:rPr>
              <w:t xml:space="preserve"> where a development footprint (flood and coastal) is provided outside the High risk area</w:t>
            </w:r>
            <w:r w:rsidRPr="00C90FC5">
              <w:rPr>
                <w:rFonts w:ascii="Arial" w:eastAsia="Times New Roman" w:hAnsi="Arial" w:cs="Arial"/>
                <w:sz w:val="20"/>
                <w:szCs w:val="20"/>
                <w:lang w:eastAsia="en-AU"/>
              </w:rPr>
              <w:t>; or</w:t>
            </w:r>
          </w:p>
          <w:p w14:paraId="2D0DB268" w14:textId="77777777" w:rsidR="00C90FC5" w:rsidRPr="00C90FC5" w:rsidRDefault="00C90FC5" w:rsidP="00C90FC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occurs in the Medium risk storm tide inundation area: </w:t>
            </w:r>
          </w:p>
          <w:p w14:paraId="01821BB9" w14:textId="77777777"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 the Centre zone, Industry zone, or Recreation and open space zone,  where not for the purpose of a vulnerable use (flood and coastal); or </w:t>
            </w:r>
          </w:p>
          <w:p w14:paraId="776E36CF" w14:textId="77777777" w:rsidR="00C90FC5" w:rsidRPr="00C90FC5" w:rsidRDefault="00C90FC5" w:rsidP="00C90FC5">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if in the Rural residential zone , where the minimum lot size for each rural residential lot is provided outside the Medium risk storm tide inundation area; or </w:t>
            </w:r>
          </w:p>
          <w:p w14:paraId="5A39A2A7" w14:textId="77777777" w:rsidR="009E61E9" w:rsidRDefault="00C90FC5" w:rsidP="009E61E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in the Rural zone</w:t>
            </w:r>
            <w:r w:rsidR="009E61E9">
              <w:rPr>
                <w:rFonts w:ascii="Arial" w:eastAsia="Times New Roman" w:hAnsi="Arial" w:cs="Arial"/>
                <w:sz w:val="20"/>
                <w:szCs w:val="20"/>
                <w:lang w:eastAsia="en-AU"/>
              </w:rPr>
              <w:t xml:space="preserve"> </w:t>
            </w:r>
            <w:r w:rsidR="009E61E9" w:rsidRPr="009E61E9">
              <w:rPr>
                <w:rFonts w:ascii="Arial" w:eastAsia="Times New Roman" w:hAnsi="Arial" w:cs="Arial"/>
                <w:sz w:val="20"/>
                <w:szCs w:val="20"/>
                <w:lang w:eastAsia="en-AU"/>
              </w:rPr>
              <w:t>where a development</w:t>
            </w:r>
            <w:r w:rsidR="009E61E9">
              <w:rPr>
                <w:rFonts w:ascii="Arial" w:eastAsia="Times New Roman" w:hAnsi="Arial" w:cs="Arial"/>
                <w:sz w:val="20"/>
                <w:szCs w:val="20"/>
                <w:lang w:eastAsia="en-AU"/>
              </w:rPr>
              <w:t xml:space="preserve"> </w:t>
            </w:r>
            <w:r w:rsidR="009E61E9" w:rsidRPr="009E61E9">
              <w:rPr>
                <w:rFonts w:ascii="Arial" w:eastAsia="Times New Roman" w:hAnsi="Arial" w:cs="Arial"/>
                <w:sz w:val="20"/>
                <w:szCs w:val="20"/>
                <w:lang w:eastAsia="en-AU"/>
              </w:rPr>
              <w:t>footprint (flood and coastal) is provided outside the Medium risk area</w:t>
            </w:r>
            <w:r w:rsidRPr="009E61E9">
              <w:rPr>
                <w:rFonts w:ascii="Arial" w:eastAsia="Times New Roman" w:hAnsi="Arial" w:cs="Arial"/>
                <w:sz w:val="20"/>
                <w:szCs w:val="20"/>
                <w:lang w:eastAsia="en-AU"/>
              </w:rPr>
              <w:t>; or</w:t>
            </w:r>
          </w:p>
          <w:p w14:paraId="7021C4FF" w14:textId="77777777" w:rsidR="00C90FC5" w:rsidRPr="009E61E9" w:rsidRDefault="00C90FC5" w:rsidP="009E61E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E61E9">
              <w:rPr>
                <w:rFonts w:ascii="Arial" w:eastAsia="Times New Roman" w:hAnsi="Arial" w:cs="Arial"/>
                <w:sz w:val="20"/>
                <w:szCs w:val="20"/>
                <w:lang w:eastAsia="en-AU"/>
              </w:rPr>
              <w:t xml:space="preserve">in any other zone, where: </w:t>
            </w:r>
          </w:p>
          <w:p w14:paraId="5A8F4CCB" w14:textId="77777777" w:rsidR="00C90FC5" w:rsidRPr="00C90FC5" w:rsidRDefault="00C90FC5" w:rsidP="009E61E9">
            <w:pPr>
              <w:numPr>
                <w:ilvl w:val="2"/>
                <w:numId w:val="25"/>
              </w:numPr>
              <w:spacing w:before="100" w:beforeAutospacing="1" w:after="100" w:afterAutospacing="1" w:line="240" w:lineRule="auto"/>
              <w:ind w:left="13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all resultant lots are located outside the Medium risk storm tide inundation area </w:t>
            </w:r>
            <w:r w:rsidR="009E61E9">
              <w:rPr>
                <w:rFonts w:ascii="Arial" w:eastAsia="Times New Roman" w:hAnsi="Arial" w:cs="Arial"/>
                <w:sz w:val="20"/>
                <w:szCs w:val="20"/>
                <w:lang w:eastAsia="en-AU"/>
              </w:rPr>
              <w:t xml:space="preserve">(or at the development planning level where filling is permitted) </w:t>
            </w:r>
            <w:r w:rsidRPr="00C90FC5">
              <w:rPr>
                <w:rFonts w:ascii="Arial" w:eastAsia="Times New Roman" w:hAnsi="Arial" w:cs="Arial"/>
                <w:sz w:val="20"/>
                <w:szCs w:val="20"/>
                <w:lang w:eastAsia="en-AU"/>
              </w:rPr>
              <w:t xml:space="preserve">other than those for the purposes of </w:t>
            </w:r>
            <w:r w:rsidR="009E61E9">
              <w:rPr>
                <w:rFonts w:ascii="Arial" w:eastAsia="Times New Roman" w:hAnsi="Arial" w:cs="Arial"/>
                <w:sz w:val="20"/>
                <w:szCs w:val="20"/>
                <w:lang w:eastAsia="en-AU"/>
              </w:rPr>
              <w:t xml:space="preserve">a </w:t>
            </w:r>
            <w:r w:rsidRPr="00C90FC5">
              <w:rPr>
                <w:rFonts w:ascii="Arial" w:eastAsia="Times New Roman" w:hAnsi="Arial" w:cs="Arial"/>
                <w:sz w:val="20"/>
                <w:szCs w:val="20"/>
                <w:lang w:eastAsia="en-AU"/>
              </w:rPr>
              <w:t xml:space="preserve">Park or Permanent plantation; or </w:t>
            </w:r>
          </w:p>
          <w:p w14:paraId="4681DFC9" w14:textId="77777777" w:rsidR="00C90FC5" w:rsidRPr="00C90FC5" w:rsidRDefault="00C90FC5" w:rsidP="009E61E9">
            <w:pPr>
              <w:numPr>
                <w:ilvl w:val="2"/>
                <w:numId w:val="25"/>
              </w:numPr>
              <w:spacing w:before="100" w:beforeAutospacing="1" w:after="100" w:afterAutospacing="1" w:line="240" w:lineRule="auto"/>
              <w:ind w:left="1350"/>
              <w:rPr>
                <w:rFonts w:ascii="Arial" w:eastAsia="Times New Roman" w:hAnsi="Arial" w:cs="Arial"/>
                <w:sz w:val="20"/>
                <w:szCs w:val="20"/>
                <w:lang w:eastAsia="en-AU"/>
              </w:rPr>
            </w:pPr>
            <w:r w:rsidRPr="00C90FC5">
              <w:rPr>
                <w:rFonts w:ascii="Arial" w:eastAsia="Times New Roman" w:hAnsi="Arial" w:cs="Arial"/>
                <w:sz w:val="20"/>
                <w:szCs w:val="20"/>
                <w:lang w:eastAsia="en-AU"/>
              </w:rPr>
              <w:t>for a lot on a building format plan under the</w:t>
            </w:r>
            <w:r w:rsidRPr="00C90FC5">
              <w:rPr>
                <w:rFonts w:ascii="Arial" w:eastAsia="Times New Roman" w:hAnsi="Arial" w:cs="Arial"/>
                <w:i/>
                <w:iCs/>
                <w:sz w:val="20"/>
                <w:szCs w:val="20"/>
                <w:lang w:eastAsia="en-AU"/>
              </w:rPr>
              <w:t xml:space="preserve"> Land Title Act 1994</w:t>
            </w:r>
            <w:r w:rsidRPr="00C90FC5">
              <w:rPr>
                <w:rFonts w:ascii="Arial" w:eastAsia="Times New Roman" w:hAnsi="Arial" w:cs="Arial"/>
                <w:sz w:val="20"/>
                <w:szCs w:val="20"/>
                <w:lang w:eastAsia="en-AU"/>
              </w:rPr>
              <w:t xml:space="preserve"> which is subject to a community titles scheme under the </w:t>
            </w:r>
            <w:r w:rsidRPr="00C90FC5">
              <w:rPr>
                <w:rFonts w:ascii="Arial" w:eastAsia="Times New Roman" w:hAnsi="Arial" w:cs="Arial"/>
                <w:i/>
                <w:iCs/>
                <w:sz w:val="20"/>
                <w:szCs w:val="20"/>
                <w:lang w:eastAsia="en-AU"/>
              </w:rPr>
              <w:t>Body Corporate and Community Management Act 1997</w:t>
            </w:r>
            <w:r w:rsidRPr="00C90FC5">
              <w:rPr>
                <w:rFonts w:ascii="Arial" w:eastAsia="Times New Roman" w:hAnsi="Arial" w:cs="Arial"/>
                <w:sz w:val="20"/>
                <w:szCs w:val="20"/>
                <w:lang w:eastAsia="en-AU"/>
              </w:rPr>
              <w:t xml:space="preserve"> and is associated with a material of use; or </w:t>
            </w:r>
          </w:p>
          <w:p w14:paraId="7F730C44" w14:textId="77777777" w:rsidR="00C90FC5" w:rsidRPr="00C90FC5" w:rsidRDefault="00C90FC5" w:rsidP="009E61E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C90FC5">
              <w:rPr>
                <w:rFonts w:ascii="Arial" w:eastAsia="Times New Roman" w:hAnsi="Arial" w:cs="Arial"/>
                <w:sz w:val="20"/>
                <w:szCs w:val="20"/>
                <w:lang w:eastAsia="en-AU"/>
              </w:rPr>
              <w:t>in the Balance coastal planning area, where consistent with the overall outcomes of the applicable zone and precinct.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566E4EBD" w14:textId="77777777" w:rsidTr="001072FA">
              <w:trPr>
                <w:tblCellSpacing w:w="15" w:type="dxa"/>
              </w:trPr>
              <w:tc>
                <w:tcPr>
                  <w:tcW w:w="4782" w:type="dxa"/>
                  <w:vAlign w:val="center"/>
                  <w:hideMark/>
                </w:tcPr>
                <w:p w14:paraId="7BAA7C4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The overall outcomes of this code identify the development outcomes which are intended so as to avoid the intolerable or tolerable risk of the coastal hazard applicable to the premises in the relevant sub-categories of the Coastal planning area. </w:t>
                  </w:r>
                </w:p>
              </w:tc>
            </w:tr>
          </w:tbl>
          <w:p w14:paraId="60CF833F"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13EAF8E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 </w:t>
            </w:r>
          </w:p>
        </w:tc>
        <w:tc>
          <w:tcPr>
            <w:tcW w:w="1671" w:type="dxa"/>
            <w:tcBorders>
              <w:top w:val="outset" w:sz="6" w:space="0" w:color="auto"/>
              <w:left w:val="outset" w:sz="6" w:space="0" w:color="auto"/>
              <w:bottom w:val="outset" w:sz="6" w:space="0" w:color="auto"/>
              <w:right w:val="outset" w:sz="6" w:space="0" w:color="auto"/>
            </w:tcBorders>
          </w:tcPr>
          <w:p w14:paraId="385AA64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08A9EA2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4D1A5552" w14:textId="77777777" w:rsidTr="001072FA">
        <w:trPr>
          <w:trHeight w:val="292"/>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14:paraId="684C629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3</w:t>
            </w:r>
          </w:p>
          <w:p w14:paraId="556E484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Development is designed to ensure personal safety at all times such that:</w:t>
            </w:r>
          </w:p>
          <w:p w14:paraId="02D82324" w14:textId="77777777"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storm tide immunity up to the Flood planning level is achieved;</w:t>
            </w:r>
          </w:p>
          <w:p w14:paraId="38C8D0E7" w14:textId="77777777"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the road layout avoids isolation in a coastal hazard event and does not impede evacuation;</w:t>
            </w:r>
          </w:p>
          <w:p w14:paraId="0B0309F0" w14:textId="77777777" w:rsidR="00C90FC5" w:rsidRPr="00C90FC5" w:rsidRDefault="00C90FC5" w:rsidP="00C90FC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signage is utilised to ensure that community members have a clear understanding of the nature of the risk of storm tide inundation in the area. </w:t>
            </w: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0EA0E26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lastRenderedPageBreak/>
              <w:t xml:space="preserve">If the ground level is to be filled to the Flood planning level as permitted by </w:t>
            </w:r>
            <w:hyperlink r:id="rId17" w:anchor="ID-571941-TABLE-8.2.1.4" w:history="1">
              <w:r w:rsidRPr="00C34DE8">
                <w:rPr>
                  <w:rFonts w:ascii="Arial" w:eastAsia="Times New Roman" w:hAnsi="Arial" w:cs="Arial"/>
                  <w:i/>
                  <w:iCs/>
                  <w:sz w:val="20"/>
                  <w:szCs w:val="20"/>
                  <w:lang w:eastAsia="en-AU"/>
                </w:rPr>
                <w:t>Table 8.2.1.4 ‘Fill requirements’</w:t>
              </w:r>
            </w:hyperlink>
          </w:p>
        </w:tc>
      </w:tr>
      <w:tr w:rsidR="00C90FC5" w:rsidRPr="00C90FC5" w14:paraId="60459CD5"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064804B5"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13E9460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.1</w:t>
            </w:r>
          </w:p>
          <w:p w14:paraId="7730762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Development ensures that finished ground level for all additional lots, excluding a Park,</w:t>
            </w:r>
            <w:r w:rsidRPr="00C90FC5">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complies with the requirements of </w:t>
            </w:r>
            <w:hyperlink r:id="rId19" w:anchor="ID-571941-TABLE-8.2.1.4" w:history="1">
              <w:r w:rsidRPr="00C34DE8">
                <w:rPr>
                  <w:rFonts w:ascii="Arial" w:eastAsia="Times New Roman" w:hAnsi="Arial" w:cs="Arial"/>
                  <w:sz w:val="20"/>
                  <w:szCs w:val="20"/>
                  <w:lang w:eastAsia="en-AU"/>
                </w:rPr>
                <w:t>Table 8.2.1.4 ‘Fill requirements’</w:t>
              </w:r>
            </w:hyperlink>
            <w:r w:rsidRPr="00C34DE8">
              <w:rPr>
                <w:rFonts w:ascii="Arial" w:eastAsia="Times New Roman" w:hAnsi="Arial" w:cs="Arial"/>
                <w:sz w:val="20"/>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14:paraId="19326AF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3E3DB49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28833B8A" w14:textId="77777777" w:rsidTr="001072FA">
        <w:trPr>
          <w:trHeight w:val="516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699E7603"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7F223AB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.2</w:t>
            </w:r>
          </w:p>
          <w:p w14:paraId="5F3442D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the road and pathway layout:</w:t>
            </w:r>
          </w:p>
          <w:p w14:paraId="72F53EBE" w14:textId="77777777" w:rsidR="00C90FC5" w:rsidRPr="00C90FC5" w:rsidRDefault="00C90FC5" w:rsidP="00C90FC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ensures residents are not physically isolated from an adjacent storm tide inundation free urban area;</w:t>
            </w:r>
          </w:p>
          <w:p w14:paraId="4574FCE7" w14:textId="77777777" w:rsidR="00C90FC5" w:rsidRPr="00C90FC5" w:rsidRDefault="00C90FC5" w:rsidP="00C90FC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provides a safe and clear evacuation route path by:</w:t>
            </w:r>
          </w:p>
          <w:p w14:paraId="341709C1" w14:textId="77777777" w:rsidR="00C90FC5" w:rsidRPr="00C90FC5" w:rsidRDefault="00C90FC5" w:rsidP="00C90FC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locating entry points into the development above the requirements set out in Appendix C of Planning scheme policy - Integrated design and avoiding cul-de-sac or other non-permeable layouts; </w:t>
            </w:r>
          </w:p>
          <w:p w14:paraId="72DDF0CD" w14:textId="77777777" w:rsidR="00C90FC5" w:rsidRPr="00C90FC5" w:rsidRDefault="00C90FC5" w:rsidP="00C90FC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 and simple routes to a main carriageway.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0E4EEEB0" w14:textId="77777777" w:rsidTr="001072FA">
              <w:trPr>
                <w:tblCellSpacing w:w="15" w:type="dxa"/>
              </w:trPr>
              <w:tc>
                <w:tcPr>
                  <w:tcW w:w="5400" w:type="dxa"/>
                  <w:vAlign w:val="center"/>
                  <w:hideMark/>
                </w:tcPr>
                <w:p w14:paraId="476BD17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Note - It is important to ensure that new reconfigurations are not isolated from other urban areas in the event of a flood.</w:t>
                  </w:r>
                </w:p>
              </w:tc>
            </w:tr>
          </w:tbl>
          <w:p w14:paraId="05279B7A" w14:textId="77777777" w:rsidR="00C34DE8" w:rsidRPr="00C34DE8" w:rsidRDefault="00C34DE8" w:rsidP="00C34DE8">
            <w:pPr>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5B843A0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AB262B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4768DEA8"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4D8FE43D"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2433E07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.3</w:t>
            </w:r>
          </w:p>
          <w:p w14:paraId="7536E2B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new road and development access are provided in accordance with the requirements set out in Appendix C of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14:paraId="55A443C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19C8CCE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4A11647C" w14:textId="77777777" w:rsidTr="001072FA">
        <w:trPr>
          <w:trHeight w:val="3021"/>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1D32A3BB"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3AC0087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3</w:t>
            </w:r>
            <w:r w:rsidRPr="00C90FC5">
              <w:rPr>
                <w:rFonts w:ascii="Arial" w:eastAsia="Times New Roman" w:hAnsi="Arial" w:cs="Arial"/>
                <w:b/>
                <w:bCs/>
                <w:sz w:val="20"/>
                <w:szCs w:val="20"/>
                <w:lang w:eastAsia="en-AU"/>
              </w:rPr>
              <w:t>.4</w:t>
            </w:r>
          </w:p>
          <w:p w14:paraId="7411744D"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w:t>
            </w:r>
          </w:p>
          <w:p w14:paraId="5CA79B37" w14:textId="77777777" w:rsidR="00C90FC5" w:rsidRPr="00C90FC5" w:rsidRDefault="00C90FC5" w:rsidP="00C90FC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signage is provided on a road or pathway indicating the position and path of all safe evacuation routes off the premises; and </w:t>
            </w:r>
          </w:p>
          <w:p w14:paraId="24FA86E4" w14:textId="77777777" w:rsidR="00C90FC5" w:rsidRPr="00C90FC5" w:rsidRDefault="00C90FC5" w:rsidP="009E61E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if the premises contains or is within 100m of an area subject to the Defined Flood Event, hazard warning signage and depth indicators are provided at each key hazard point, such as at a waterway crossing or an entrance to a low-lying reserve. </w:t>
            </w:r>
          </w:p>
        </w:tc>
        <w:tc>
          <w:tcPr>
            <w:tcW w:w="1671" w:type="dxa"/>
            <w:tcBorders>
              <w:top w:val="outset" w:sz="6" w:space="0" w:color="auto"/>
              <w:left w:val="outset" w:sz="6" w:space="0" w:color="auto"/>
              <w:bottom w:val="outset" w:sz="6" w:space="0" w:color="auto"/>
              <w:right w:val="outset" w:sz="6" w:space="0" w:color="auto"/>
            </w:tcBorders>
          </w:tcPr>
          <w:p w14:paraId="3A15A09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6ABF5AF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459CF4DC"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1848D013"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3C63396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 xml:space="preserve">If the ground level is to be filled other than as permitted </w:t>
            </w:r>
            <w:r w:rsidRPr="00C34DE8">
              <w:rPr>
                <w:rFonts w:ascii="Arial" w:eastAsia="Times New Roman" w:hAnsi="Arial" w:cs="Arial"/>
                <w:i/>
                <w:iCs/>
                <w:sz w:val="20"/>
                <w:szCs w:val="20"/>
                <w:lang w:eastAsia="en-AU"/>
              </w:rPr>
              <w:t xml:space="preserve">by </w:t>
            </w:r>
            <w:hyperlink r:id="rId20" w:anchor="ID-571941-TABLE-8.2.1.4" w:history="1">
              <w:r w:rsidRPr="00C34DE8">
                <w:rPr>
                  <w:rFonts w:ascii="Arial" w:eastAsia="Times New Roman" w:hAnsi="Arial" w:cs="Arial"/>
                  <w:i/>
                  <w:iCs/>
                  <w:sz w:val="20"/>
                  <w:szCs w:val="20"/>
                  <w:lang w:eastAsia="en-AU"/>
                </w:rPr>
                <w:t>Table 8.2.1.4 ‘Fill requirements’</w:t>
              </w:r>
            </w:hyperlink>
          </w:p>
        </w:tc>
      </w:tr>
      <w:tr w:rsidR="00C90FC5" w:rsidRPr="00C90FC5" w14:paraId="1605D99B" w14:textId="77777777" w:rsidTr="001072FA">
        <w:trPr>
          <w:trHeight w:val="210"/>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316A85B9"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5E98CFF7" w14:textId="77777777" w:rsid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p w14:paraId="276F14B1" w14:textId="77777777" w:rsidR="00C34DE8" w:rsidRPr="00C90FC5" w:rsidRDefault="00C34DE8"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6B799B9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3353197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3E7B5A51" w14:textId="77777777" w:rsidTr="001072FA">
        <w:trPr>
          <w:tblCellSpacing w:w="15" w:type="dxa"/>
        </w:trPr>
        <w:tc>
          <w:tcPr>
            <w:tcW w:w="3746" w:type="dxa"/>
            <w:vMerge w:val="restart"/>
            <w:tcBorders>
              <w:top w:val="outset" w:sz="6" w:space="0" w:color="auto"/>
              <w:left w:val="outset" w:sz="6" w:space="0" w:color="auto"/>
              <w:bottom w:val="outset" w:sz="6" w:space="0" w:color="auto"/>
              <w:right w:val="outset" w:sz="6" w:space="0" w:color="auto"/>
            </w:tcBorders>
            <w:hideMark/>
          </w:tcPr>
          <w:p w14:paraId="7979D92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4</w:t>
            </w:r>
          </w:p>
          <w:p w14:paraId="528DE40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 infrastructure (excluding a road</w:t>
            </w:r>
            <w:r w:rsidR="009E61E9">
              <w:rPr>
                <w:rFonts w:ascii="Arial" w:eastAsia="Times New Roman" w:hAnsi="Arial" w:cs="Arial"/>
                <w:sz w:val="20"/>
                <w:szCs w:val="20"/>
                <w:lang w:eastAsia="en-AU"/>
              </w:rPr>
              <w:t xml:space="preserve"> and associated infrastructure</w:t>
            </w:r>
            <w:r w:rsidRPr="00C90FC5">
              <w:rPr>
                <w:rFonts w:ascii="Arial" w:eastAsia="Times New Roman" w:hAnsi="Arial" w:cs="Arial"/>
                <w:sz w:val="20"/>
                <w:szCs w:val="20"/>
                <w:lang w:eastAsia="en-AU"/>
              </w:rPr>
              <w:t>):</w:t>
            </w:r>
          </w:p>
          <w:p w14:paraId="28718F13" w14:textId="77777777" w:rsidR="00C90FC5" w:rsidRPr="00C90FC5" w:rsidRDefault="00C90FC5" w:rsidP="00C90FC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located outside of the Erosion Prone Area, High risk storm tide inundation area and Medium risk storm tide inundation area; or </w:t>
            </w:r>
          </w:p>
          <w:p w14:paraId="278A9E07" w14:textId="77777777" w:rsidR="00C90FC5" w:rsidRPr="00C90FC5" w:rsidRDefault="00C90FC5" w:rsidP="00C90FC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otherwise located in the Erosion Prone Area, High risk storm tide inundation area or Medium risk storm tide inundation area to function during and after all coastal hazard events up to and including the Defined Flood Event. </w:t>
            </w: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0BDD290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If in the Balance coastal planning area</w:t>
            </w:r>
          </w:p>
        </w:tc>
      </w:tr>
      <w:tr w:rsidR="00C90FC5" w:rsidRPr="00C90FC5" w14:paraId="2B9F8760" w14:textId="77777777" w:rsidTr="001072FA">
        <w:trPr>
          <w:trHeight w:val="2775"/>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1D44A36E"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6D3E69C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4</w:t>
            </w:r>
          </w:p>
          <w:p w14:paraId="0E6E028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ensures that:</w:t>
            </w:r>
          </w:p>
          <w:p w14:paraId="2D6447F8" w14:textId="77777777" w:rsidR="00C90FC5" w:rsidRPr="00C90FC5" w:rsidRDefault="00C90FC5" w:rsidP="00C90FC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any component of infrastructure which is likely to fail to function or may result in contamination when inundated by storm tide is located above the Flood planning level; or </w:t>
            </w:r>
          </w:p>
          <w:p w14:paraId="7B29B4C8" w14:textId="77777777" w:rsidR="00C90FC5" w:rsidRPr="00C90FC5" w:rsidRDefault="00C90FC5" w:rsidP="00C90FC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infrastructure is designed, located and constructed to resist the hydrostatic and hydrodynamic forces as a result of inundation by the Defined Flood Event. </w:t>
            </w:r>
          </w:p>
        </w:tc>
        <w:tc>
          <w:tcPr>
            <w:tcW w:w="1671" w:type="dxa"/>
            <w:tcBorders>
              <w:top w:val="outset" w:sz="6" w:space="0" w:color="auto"/>
              <w:left w:val="outset" w:sz="6" w:space="0" w:color="auto"/>
              <w:bottom w:val="outset" w:sz="6" w:space="0" w:color="auto"/>
              <w:right w:val="outset" w:sz="6" w:space="0" w:color="auto"/>
            </w:tcBorders>
          </w:tcPr>
          <w:p w14:paraId="0A0945A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20C11DC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5C8C4F0C"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221936EF"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155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3C5D261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i/>
                <w:iCs/>
                <w:sz w:val="20"/>
                <w:szCs w:val="20"/>
                <w:lang w:eastAsia="en-AU"/>
              </w:rPr>
            </w:pPr>
            <w:r w:rsidRPr="00C90FC5">
              <w:rPr>
                <w:rFonts w:ascii="Arial" w:eastAsia="Times New Roman" w:hAnsi="Arial" w:cs="Arial"/>
                <w:i/>
                <w:iCs/>
                <w:sz w:val="20"/>
                <w:szCs w:val="20"/>
                <w:lang w:eastAsia="en-AU"/>
              </w:rPr>
              <w:t>If in the Erosion Prone Area, High risk storm tide inundation area or Medium risk storm tide inundation area</w:t>
            </w:r>
          </w:p>
        </w:tc>
      </w:tr>
      <w:tr w:rsidR="00C90FC5" w:rsidRPr="00C90FC5" w14:paraId="6FED39A4" w14:textId="77777777" w:rsidTr="001072FA">
        <w:trPr>
          <w:tblCellSpacing w:w="15" w:type="dxa"/>
        </w:trPr>
        <w:tc>
          <w:tcPr>
            <w:tcW w:w="3746" w:type="dxa"/>
            <w:vMerge/>
            <w:tcBorders>
              <w:top w:val="outset" w:sz="6" w:space="0" w:color="auto"/>
              <w:left w:val="outset" w:sz="6" w:space="0" w:color="auto"/>
              <w:bottom w:val="outset" w:sz="6" w:space="0" w:color="auto"/>
              <w:right w:val="outset" w:sz="6" w:space="0" w:color="auto"/>
            </w:tcBorders>
            <w:vAlign w:val="center"/>
            <w:hideMark/>
          </w:tcPr>
          <w:p w14:paraId="0DC16CC2"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5076097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 </w:t>
            </w:r>
          </w:p>
        </w:tc>
        <w:tc>
          <w:tcPr>
            <w:tcW w:w="1671" w:type="dxa"/>
            <w:tcBorders>
              <w:top w:val="outset" w:sz="6" w:space="0" w:color="auto"/>
              <w:left w:val="outset" w:sz="6" w:space="0" w:color="auto"/>
              <w:bottom w:val="outset" w:sz="6" w:space="0" w:color="auto"/>
              <w:right w:val="outset" w:sz="6" w:space="0" w:color="auto"/>
            </w:tcBorders>
          </w:tcPr>
          <w:p w14:paraId="5B55326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6E7A968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13D5169E" w14:textId="77777777" w:rsidTr="001072FA">
        <w:trPr>
          <w:tblCellSpacing w:w="15" w:type="dxa"/>
        </w:trPr>
        <w:tc>
          <w:tcPr>
            <w:tcW w:w="15329"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AC933C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Additional criteria for works whether or not associated with a material change of use, building work or reconfiguring a lot</w:t>
            </w:r>
          </w:p>
        </w:tc>
      </w:tr>
      <w:tr w:rsidR="00C90FC5" w:rsidRPr="00C90FC5" w14:paraId="26D75EE3" w14:textId="77777777"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70D1687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5</w:t>
            </w:r>
          </w:p>
          <w:p w14:paraId="2CA1787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 xml:space="preserve">Development ensures that filling complies with the requirements of </w:t>
            </w:r>
            <w:hyperlink r:id="rId21" w:anchor="ID-571941-TABLE-8.2.1.4" w:history="1">
              <w:r w:rsidRPr="00C34DE8">
                <w:rPr>
                  <w:rFonts w:ascii="Arial" w:eastAsia="Times New Roman" w:hAnsi="Arial" w:cs="Arial"/>
                  <w:sz w:val="20"/>
                  <w:szCs w:val="20"/>
                  <w:lang w:eastAsia="en-AU"/>
                </w:rPr>
                <w:t>Table 8.2.1.4 ‘Fill requirements’</w:t>
              </w:r>
            </w:hyperlink>
            <w:r w:rsidRPr="00C34DE8">
              <w:rPr>
                <w:rFonts w:ascii="Arial" w:eastAsia="Times New Roman" w:hAnsi="Arial" w:cs="Arial"/>
                <w:sz w:val="20"/>
                <w:szCs w:val="20"/>
                <w:lang w:eastAsia="en-AU"/>
              </w:rPr>
              <w:t xml:space="preserve">. </w:t>
            </w:r>
          </w:p>
        </w:tc>
        <w:tc>
          <w:tcPr>
            <w:tcW w:w="6519" w:type="dxa"/>
            <w:tcBorders>
              <w:top w:val="outset" w:sz="6" w:space="0" w:color="auto"/>
              <w:left w:val="outset" w:sz="6" w:space="0" w:color="auto"/>
              <w:bottom w:val="outset" w:sz="6" w:space="0" w:color="auto"/>
              <w:right w:val="outset" w:sz="6" w:space="0" w:color="auto"/>
            </w:tcBorders>
            <w:hideMark/>
          </w:tcPr>
          <w:p w14:paraId="49985CE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1671" w:type="dxa"/>
            <w:tcBorders>
              <w:top w:val="outset" w:sz="6" w:space="0" w:color="auto"/>
              <w:left w:val="outset" w:sz="6" w:space="0" w:color="auto"/>
              <w:bottom w:val="outset" w:sz="6" w:space="0" w:color="auto"/>
              <w:right w:val="outset" w:sz="6" w:space="0" w:color="auto"/>
            </w:tcBorders>
          </w:tcPr>
          <w:p w14:paraId="7530EFA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7167669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3AD369C4" w14:textId="77777777" w:rsidTr="001072FA">
        <w:trPr>
          <w:trHeight w:val="3585"/>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2F5FEE9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6</w:t>
            </w:r>
          </w:p>
          <w:p w14:paraId="0E505B8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does not:</w:t>
            </w:r>
          </w:p>
          <w:p w14:paraId="3BD38FD3" w14:textId="77777777"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directly, indirectly and cumulatively cause any increase in water flow velocity or level;</w:t>
            </w:r>
          </w:p>
          <w:p w14:paraId="3E416652" w14:textId="77777777"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increase the potential for erosion, scour or flood damage either on the premises or other premises, public land, watercourses, roads or infrastructure or elsewhere in the floodplain; </w:t>
            </w:r>
          </w:p>
          <w:p w14:paraId="6DFF3B5E" w14:textId="77777777" w:rsidR="00C90FC5" w:rsidRPr="00C90FC5" w:rsidRDefault="00C90FC5" w:rsidP="00C90FC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change the timing of the flood wave or impact on flood warning times.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16"/>
            </w:tblGrid>
            <w:tr w:rsidR="00C90FC5" w:rsidRPr="00C90FC5" w14:paraId="46B72712" w14:textId="77777777" w:rsidTr="001072FA">
              <w:trPr>
                <w:tblCellSpacing w:w="15" w:type="dxa"/>
              </w:trPr>
              <w:tc>
                <w:tcPr>
                  <w:tcW w:w="4782" w:type="dxa"/>
                  <w:vAlign w:val="center"/>
                  <w:hideMark/>
                </w:tcPr>
                <w:p w14:paraId="73956E5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To demonstrate achievement of the performance outcome, an engineering report is to be prepared by a suitably qualified person.  Guidance on the matters to be addressed in the report is provided in the Planning scheme policy - Flood Hazard, Coastal Hazard and Overland Flow. </w:t>
                  </w:r>
                </w:p>
              </w:tc>
            </w:tr>
          </w:tbl>
          <w:p w14:paraId="7B62B62D"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6519" w:type="dxa"/>
            <w:tcBorders>
              <w:top w:val="outset" w:sz="6" w:space="0" w:color="auto"/>
              <w:left w:val="outset" w:sz="6" w:space="0" w:color="auto"/>
              <w:bottom w:val="outset" w:sz="6" w:space="0" w:color="auto"/>
              <w:right w:val="outset" w:sz="6" w:space="0" w:color="auto"/>
            </w:tcBorders>
            <w:hideMark/>
          </w:tcPr>
          <w:p w14:paraId="14F3D7F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69B186E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5A9254F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41EE13F9" w14:textId="77777777" w:rsidTr="001072FA">
        <w:trPr>
          <w:trHeight w:val="105"/>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5B8D67B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involving hazardous chemicals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14:paraId="5AD06CF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14:paraId="08F1DE6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6976D15F" w14:textId="77777777" w:rsidTr="001072FA">
        <w:trPr>
          <w:trHeight w:val="480"/>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6581094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7</w:t>
            </w:r>
          </w:p>
          <w:p w14:paraId="224DD01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hazardous chemicals are not located or stored in the Erosion Prone Area or High risk storm tide inundation area. </w:t>
            </w:r>
          </w:p>
        </w:tc>
        <w:tc>
          <w:tcPr>
            <w:tcW w:w="6519" w:type="dxa"/>
            <w:tcBorders>
              <w:top w:val="outset" w:sz="6" w:space="0" w:color="auto"/>
              <w:left w:val="outset" w:sz="6" w:space="0" w:color="auto"/>
              <w:bottom w:val="outset" w:sz="6" w:space="0" w:color="auto"/>
              <w:right w:val="outset" w:sz="6" w:space="0" w:color="auto"/>
            </w:tcBorders>
            <w:hideMark/>
          </w:tcPr>
          <w:p w14:paraId="1E35FB3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17F46C6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16EEFD4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2BAB950D" w14:textId="77777777" w:rsidTr="001072FA">
        <w:trPr>
          <w:trHeight w:val="2265"/>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0E4B282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lastRenderedPageBreak/>
              <w:t>PO2</w:t>
            </w:r>
            <w:r w:rsidR="00221DA7">
              <w:rPr>
                <w:rFonts w:ascii="Arial" w:eastAsia="Times New Roman" w:hAnsi="Arial" w:cs="Arial"/>
                <w:b/>
                <w:bCs/>
                <w:sz w:val="20"/>
                <w:szCs w:val="20"/>
                <w:lang w:eastAsia="en-AU"/>
              </w:rPr>
              <w:t>8</w:t>
            </w:r>
          </w:p>
          <w:p w14:paraId="744FC5D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 the Medium risk storm tide  inundation area and Balance coastal planning area ensures that public safety and risk to the environment are not adversely affected by a detrimental impact of a coastal hazard event on a hazardous chemical located or stored on the premises. </w:t>
            </w:r>
          </w:p>
        </w:tc>
        <w:tc>
          <w:tcPr>
            <w:tcW w:w="6519" w:type="dxa"/>
            <w:tcBorders>
              <w:top w:val="outset" w:sz="6" w:space="0" w:color="auto"/>
              <w:left w:val="outset" w:sz="6" w:space="0" w:color="auto"/>
              <w:bottom w:val="outset" w:sz="6" w:space="0" w:color="auto"/>
              <w:right w:val="outset" w:sz="6" w:space="0" w:color="auto"/>
            </w:tcBorders>
            <w:hideMark/>
          </w:tcPr>
          <w:p w14:paraId="3366B8D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E2</w:t>
            </w:r>
            <w:r w:rsidR="00221DA7">
              <w:rPr>
                <w:rFonts w:ascii="Arial" w:eastAsia="Times New Roman" w:hAnsi="Arial" w:cs="Arial"/>
                <w:b/>
                <w:bCs/>
                <w:sz w:val="20"/>
                <w:szCs w:val="20"/>
                <w:lang w:eastAsia="en-AU"/>
              </w:rPr>
              <w:t>8</w:t>
            </w:r>
          </w:p>
          <w:p w14:paraId="06CE6FEC" w14:textId="77777777" w:rsidR="00C90FC5" w:rsidRPr="00C34DE8"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ensures that a hazardous chemical is located or stored at least above the flood planning level in </w:t>
            </w:r>
            <w:r w:rsidRPr="00C34DE8">
              <w:rPr>
                <w:rFonts w:ascii="Arial" w:eastAsia="Times New Roman" w:hAnsi="Arial" w:cs="Arial"/>
                <w:sz w:val="20"/>
                <w:szCs w:val="20"/>
                <w:lang w:eastAsia="en-AU"/>
              </w:rPr>
              <w:t xml:space="preserve">Table 8.2.1.3.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9"/>
            </w:tblGrid>
            <w:tr w:rsidR="00C90FC5" w:rsidRPr="00C90FC5" w14:paraId="2C927A64" w14:textId="77777777" w:rsidTr="001072FA">
              <w:trPr>
                <w:tblCellSpacing w:w="15" w:type="dxa"/>
              </w:trPr>
              <w:tc>
                <w:tcPr>
                  <w:tcW w:w="6342" w:type="dxa"/>
                  <w:vAlign w:val="center"/>
                  <w:hideMark/>
                </w:tcPr>
                <w:p w14:paraId="38A8535A"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34DE8">
                    <w:rPr>
                      <w:rFonts w:ascii="Arial" w:eastAsia="Times New Roman" w:hAnsi="Arial" w:cs="Arial"/>
                      <w:sz w:val="18"/>
                      <w:szCs w:val="20"/>
                      <w:lang w:eastAsia="en-AU"/>
                    </w:rPr>
                    <w:t xml:space="preserve">Note - Refer to the </w:t>
                  </w:r>
                  <w:r w:rsidRPr="00C34DE8">
                    <w:rPr>
                      <w:rFonts w:ascii="Arial" w:eastAsia="Times New Roman" w:hAnsi="Arial" w:cs="Arial"/>
                      <w:i/>
                      <w:iCs/>
                      <w:sz w:val="18"/>
                      <w:szCs w:val="20"/>
                      <w:lang w:eastAsia="en-AU"/>
                    </w:rPr>
                    <w:t xml:space="preserve">Work Health and Safety Act 2011 </w:t>
                  </w:r>
                  <w:r w:rsidRPr="00C34DE8">
                    <w:rPr>
                      <w:rFonts w:ascii="Arial" w:eastAsia="Times New Roman" w:hAnsi="Arial" w:cs="Arial"/>
                      <w:sz w:val="18"/>
                      <w:szCs w:val="20"/>
                      <w:lang w:eastAsia="en-AU"/>
                    </w:rPr>
                    <w:t xml:space="preserve">and associated Regulation and Guidelines, the </w:t>
                  </w:r>
                  <w:r w:rsidRPr="00C34DE8">
                    <w:rPr>
                      <w:rFonts w:ascii="Arial" w:eastAsia="Times New Roman" w:hAnsi="Arial" w:cs="Arial"/>
                      <w:i/>
                      <w:iCs/>
                      <w:sz w:val="18"/>
                      <w:szCs w:val="20"/>
                      <w:lang w:eastAsia="en-AU"/>
                    </w:rPr>
                    <w:t xml:space="preserve">Environmental Protection Act 1994 </w:t>
                  </w:r>
                  <w:r w:rsidRPr="00C34DE8">
                    <w:rPr>
                      <w:rFonts w:ascii="Arial" w:eastAsia="Times New Roman" w:hAnsi="Arial" w:cs="Arial"/>
                      <w:sz w:val="18"/>
                      <w:szCs w:val="20"/>
                      <w:lang w:eastAsia="en-AU"/>
                    </w:rPr>
                    <w:t xml:space="preserve">and the relevant building assessment provisions under the </w:t>
                  </w:r>
                  <w:r w:rsidRPr="00C34DE8">
                    <w:rPr>
                      <w:rFonts w:ascii="Arial" w:eastAsia="Times New Roman" w:hAnsi="Arial" w:cs="Arial"/>
                      <w:i/>
                      <w:iCs/>
                      <w:sz w:val="18"/>
                      <w:szCs w:val="20"/>
                      <w:lang w:eastAsia="en-AU"/>
                    </w:rPr>
                    <w:t xml:space="preserve">Building Act 1975 </w:t>
                  </w:r>
                  <w:r w:rsidRPr="00C34DE8">
                    <w:rPr>
                      <w:rFonts w:ascii="Arial" w:eastAsia="Times New Roman" w:hAnsi="Arial" w:cs="Arial"/>
                      <w:sz w:val="18"/>
                      <w:szCs w:val="20"/>
                      <w:lang w:eastAsia="en-AU"/>
                    </w:rPr>
                    <w:t xml:space="preserve">for requirements related to the manufacture and storage of hazardous substances.  </w:t>
                  </w:r>
                </w:p>
              </w:tc>
            </w:tr>
          </w:tbl>
          <w:p w14:paraId="0A6E07E0" w14:textId="77777777" w:rsidR="00C90FC5" w:rsidRPr="00C90FC5" w:rsidRDefault="00C90FC5" w:rsidP="00C90FC5">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14:paraId="3A30E308"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00828EC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6BB76A19" w14:textId="77777777"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7081CEC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for community infrastructure</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14:paraId="3EE61FA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14:paraId="1D589E2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666A6B68" w14:textId="77777777" w:rsidTr="001072FA">
        <w:trPr>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766E2290"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PO2</w:t>
            </w:r>
            <w:r w:rsidR="00221DA7">
              <w:rPr>
                <w:rFonts w:ascii="Arial" w:eastAsia="Times New Roman" w:hAnsi="Arial" w:cs="Arial"/>
                <w:b/>
                <w:bCs/>
                <w:sz w:val="20"/>
                <w:szCs w:val="20"/>
                <w:lang w:eastAsia="en-AU"/>
              </w:rPr>
              <w:t>9</w:t>
            </w:r>
          </w:p>
          <w:p w14:paraId="7A30D44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Development involving community infrastructure is not located in the Erosion Prone Area or High risk storm tide inundation area. </w:t>
            </w:r>
          </w:p>
        </w:tc>
        <w:tc>
          <w:tcPr>
            <w:tcW w:w="6519" w:type="dxa"/>
            <w:tcBorders>
              <w:top w:val="outset" w:sz="6" w:space="0" w:color="auto"/>
              <w:left w:val="outset" w:sz="6" w:space="0" w:color="auto"/>
              <w:bottom w:val="outset" w:sz="6" w:space="0" w:color="auto"/>
              <w:right w:val="outset" w:sz="6" w:space="0" w:color="auto"/>
            </w:tcBorders>
            <w:hideMark/>
          </w:tcPr>
          <w:p w14:paraId="3E4CFCF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example provided.</w:t>
            </w:r>
          </w:p>
        </w:tc>
        <w:tc>
          <w:tcPr>
            <w:tcW w:w="1671" w:type="dxa"/>
            <w:tcBorders>
              <w:top w:val="outset" w:sz="6" w:space="0" w:color="auto"/>
              <w:left w:val="outset" w:sz="6" w:space="0" w:color="auto"/>
              <w:bottom w:val="outset" w:sz="6" w:space="0" w:color="auto"/>
              <w:right w:val="outset" w:sz="6" w:space="0" w:color="auto"/>
            </w:tcBorders>
          </w:tcPr>
          <w:p w14:paraId="2A9160B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2638A6F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6663878F" w14:textId="77777777" w:rsidTr="001072FA">
        <w:trPr>
          <w:trHeight w:val="4770"/>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1BA7638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w:t>
            </w:r>
            <w:r w:rsidR="00221DA7">
              <w:rPr>
                <w:rFonts w:ascii="Arial" w:eastAsia="Times New Roman" w:hAnsi="Arial" w:cs="Arial"/>
                <w:b/>
                <w:bCs/>
                <w:sz w:val="20"/>
                <w:szCs w:val="20"/>
                <w:lang w:eastAsia="en-AU"/>
              </w:rPr>
              <w:t>30</w:t>
            </w:r>
          </w:p>
          <w:p w14:paraId="7FA1F75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community infrastructure in the Medium risk storm tide  inundation area or the Balance coastal planning area:</w:t>
            </w:r>
          </w:p>
          <w:p w14:paraId="039B1236" w14:textId="77777777"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remains functional to serve community needs during and immediately after the Defined Flood Event;  </w:t>
            </w:r>
          </w:p>
          <w:p w14:paraId="6F166546" w14:textId="77777777"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designed, sited and operated to avoid adverse impacts on the community or the environment due to the impacts of storm tide inundation on infrastructure, facilities or access and egress routes; </w:t>
            </w:r>
          </w:p>
          <w:p w14:paraId="49382F75" w14:textId="77777777"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retains essential site access during the Defined Flood Event;</w:t>
            </w:r>
          </w:p>
          <w:p w14:paraId="0B816D41" w14:textId="77777777" w:rsidR="00C90FC5" w:rsidRPr="00C90FC5" w:rsidRDefault="00C90FC5" w:rsidP="00C90FC5">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is able to remain functional even when other infrastructure or </w:t>
            </w:r>
            <w:r w:rsidRPr="00C90FC5">
              <w:rPr>
                <w:rFonts w:ascii="Arial" w:eastAsia="Times New Roman" w:hAnsi="Arial" w:cs="Arial"/>
                <w:sz w:val="20"/>
                <w:szCs w:val="20"/>
                <w:lang w:eastAsia="en-AU"/>
              </w:rPr>
              <w:lastRenderedPageBreak/>
              <w:t>services may be compromised in the Defined Flood Event.</w:t>
            </w:r>
          </w:p>
        </w:tc>
        <w:tc>
          <w:tcPr>
            <w:tcW w:w="6519" w:type="dxa"/>
            <w:tcBorders>
              <w:top w:val="outset" w:sz="6" w:space="0" w:color="auto"/>
              <w:left w:val="outset" w:sz="6" w:space="0" w:color="auto"/>
              <w:bottom w:val="outset" w:sz="6" w:space="0" w:color="auto"/>
              <w:right w:val="outset" w:sz="6" w:space="0" w:color="auto"/>
            </w:tcBorders>
            <w:hideMark/>
          </w:tcPr>
          <w:p w14:paraId="7F49109B"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lastRenderedPageBreak/>
              <w:t>No example provided.</w:t>
            </w:r>
          </w:p>
        </w:tc>
        <w:tc>
          <w:tcPr>
            <w:tcW w:w="1671" w:type="dxa"/>
            <w:tcBorders>
              <w:top w:val="outset" w:sz="6" w:space="0" w:color="auto"/>
              <w:left w:val="outset" w:sz="6" w:space="0" w:color="auto"/>
              <w:bottom w:val="outset" w:sz="6" w:space="0" w:color="auto"/>
              <w:right w:val="outset" w:sz="6" w:space="0" w:color="auto"/>
            </w:tcBorders>
          </w:tcPr>
          <w:p w14:paraId="310EFAC7"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26B7707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p>
        </w:tc>
      </w:tr>
      <w:tr w:rsidR="00C90FC5" w:rsidRPr="00C90FC5" w14:paraId="5A452182" w14:textId="77777777" w:rsidTr="001072FA">
        <w:trPr>
          <w:tblCellSpacing w:w="15" w:type="dxa"/>
        </w:trPr>
        <w:tc>
          <w:tcPr>
            <w:tcW w:w="10295"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3546779"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Additional criteria for development for a Park</w:t>
            </w:r>
            <w:r w:rsidRPr="00C90FC5">
              <w:rPr>
                <w:rFonts w:ascii="Arial" w:eastAsia="Times New Roman" w:hAnsi="Arial" w:cs="Arial"/>
                <w:b/>
                <w:bCs/>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b/>
                <w:bCs/>
                <w:sz w:val="20"/>
                <w:szCs w:val="20"/>
                <w:vertAlign w:val="superscript"/>
                <w:lang w:eastAsia="en-AU"/>
              </w:rPr>
              <w:t>)</w:t>
            </w:r>
            <w:r w:rsidRPr="00C90FC5">
              <w:rPr>
                <w:rFonts w:ascii="Arial" w:eastAsia="Times New Roman" w:hAnsi="Arial" w:cs="Arial"/>
                <w:b/>
                <w:bCs/>
                <w:sz w:val="20"/>
                <w:szCs w:val="20"/>
                <w:lang w:eastAsia="en-AU"/>
              </w:rPr>
              <w:t> </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14:paraId="28123D5D"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shd w:val="clear" w:color="auto" w:fill="CCCCCC"/>
          </w:tcPr>
          <w:p w14:paraId="5EC8D94C"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0FC5" w:rsidRPr="00C90FC5" w14:paraId="525A5121" w14:textId="77777777" w:rsidTr="001072FA">
        <w:trPr>
          <w:trHeight w:val="2160"/>
          <w:tblCellSpacing w:w="15" w:type="dxa"/>
        </w:trPr>
        <w:tc>
          <w:tcPr>
            <w:tcW w:w="3746" w:type="dxa"/>
            <w:tcBorders>
              <w:top w:val="outset" w:sz="6" w:space="0" w:color="auto"/>
              <w:left w:val="outset" w:sz="6" w:space="0" w:color="auto"/>
              <w:bottom w:val="outset" w:sz="6" w:space="0" w:color="auto"/>
              <w:right w:val="outset" w:sz="6" w:space="0" w:color="auto"/>
            </w:tcBorders>
            <w:hideMark/>
          </w:tcPr>
          <w:p w14:paraId="29235D7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PO3</w:t>
            </w:r>
            <w:r w:rsidR="00221DA7">
              <w:rPr>
                <w:rFonts w:ascii="Arial" w:eastAsia="Times New Roman" w:hAnsi="Arial" w:cs="Arial"/>
                <w:b/>
                <w:bCs/>
                <w:sz w:val="20"/>
                <w:szCs w:val="20"/>
                <w:lang w:eastAsia="en-AU"/>
              </w:rPr>
              <w:t>1</w:t>
            </w:r>
          </w:p>
          <w:p w14:paraId="4CC5143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Park</w:t>
            </w:r>
            <w:r w:rsidRPr="00C90FC5">
              <w:rPr>
                <w:rFonts w:ascii="Arial" w:eastAsia="Times New Roman" w:hAnsi="Arial" w:cs="Arial"/>
                <w:sz w:val="20"/>
                <w:szCs w:val="20"/>
                <w:vertAlign w:val="superscript"/>
                <w:lang w:eastAsia="en-AU"/>
              </w:rPr>
              <w:t>(</w:t>
            </w:r>
            <w:hyperlink r:id="rId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ensures that the design and layout responds to the nature of the coastal hazard affecting the premises in order to: </w:t>
            </w:r>
          </w:p>
          <w:p w14:paraId="3FA4689A" w14:textId="77777777"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maximise public benefit and enjoyment;</w:t>
            </w:r>
          </w:p>
          <w:p w14:paraId="214DBCC1" w14:textId="77777777"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minimise impacts on the asset life and integrity of park</w:t>
            </w:r>
            <w:r w:rsidRPr="00C90FC5">
              <w:rPr>
                <w:rFonts w:ascii="Arial" w:eastAsia="Times New Roman" w:hAnsi="Arial" w:cs="Arial"/>
                <w:sz w:val="20"/>
                <w:szCs w:val="20"/>
                <w:vertAlign w:val="superscript"/>
                <w:lang w:eastAsia="en-AU"/>
              </w:rPr>
              <w:t>(</w:t>
            </w:r>
            <w:hyperlink r:id="rId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structures; </w:t>
            </w:r>
          </w:p>
          <w:p w14:paraId="3E4F05AA" w14:textId="77777777" w:rsidR="00C90FC5" w:rsidRPr="00C90FC5" w:rsidRDefault="00C90FC5" w:rsidP="00C90FC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C90FC5">
              <w:rPr>
                <w:rFonts w:ascii="Arial" w:eastAsia="Times New Roman" w:hAnsi="Arial" w:cs="Arial"/>
                <w:sz w:val="20"/>
                <w:szCs w:val="20"/>
                <w:lang w:eastAsia="en-AU"/>
              </w:rPr>
              <w:t>minimise maintenance and replacement costs.</w:t>
            </w:r>
          </w:p>
        </w:tc>
        <w:tc>
          <w:tcPr>
            <w:tcW w:w="6519" w:type="dxa"/>
            <w:tcBorders>
              <w:top w:val="outset" w:sz="6" w:space="0" w:color="auto"/>
              <w:left w:val="outset" w:sz="6" w:space="0" w:color="auto"/>
              <w:bottom w:val="outset" w:sz="6" w:space="0" w:color="auto"/>
              <w:right w:val="outset" w:sz="6" w:space="0" w:color="auto"/>
            </w:tcBorders>
            <w:hideMark/>
          </w:tcPr>
          <w:p w14:paraId="78992485"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b/>
                <w:bCs/>
                <w:sz w:val="20"/>
                <w:szCs w:val="20"/>
                <w:lang w:eastAsia="en-AU"/>
              </w:rPr>
              <w:t>E3</w:t>
            </w:r>
            <w:r w:rsidR="00221DA7">
              <w:rPr>
                <w:rFonts w:ascii="Arial" w:eastAsia="Times New Roman" w:hAnsi="Arial" w:cs="Arial"/>
                <w:b/>
                <w:bCs/>
                <w:sz w:val="20"/>
                <w:szCs w:val="20"/>
                <w:lang w:eastAsia="en-AU"/>
              </w:rPr>
              <w:t>1</w:t>
            </w:r>
          </w:p>
          <w:p w14:paraId="261AF36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Development for a Park</w:t>
            </w:r>
            <w:r w:rsidRPr="00C90FC5">
              <w:rPr>
                <w:rFonts w:ascii="Arial" w:eastAsia="Times New Roman" w:hAnsi="Arial" w:cs="Arial"/>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90FC5">
                <w:rPr>
                  <w:rFonts w:ascii="Arial" w:eastAsia="Times New Roman" w:hAnsi="Arial" w:cs="Arial"/>
                  <w:color w:val="0000FF"/>
                  <w:sz w:val="20"/>
                  <w:szCs w:val="20"/>
                  <w:vertAlign w:val="superscript"/>
                  <w:lang w:eastAsia="en-AU"/>
                </w:rPr>
                <w:t>57</w:t>
              </w:r>
            </w:hyperlink>
            <w:r w:rsidRPr="00C90FC5">
              <w:rPr>
                <w:rFonts w:ascii="Arial" w:eastAsia="Times New Roman" w:hAnsi="Arial" w:cs="Arial"/>
                <w:sz w:val="20"/>
                <w:szCs w:val="20"/>
                <w:vertAlign w:val="superscript"/>
                <w:lang w:eastAsia="en-AU"/>
              </w:rPr>
              <w:t>)</w:t>
            </w:r>
            <w:r w:rsidRPr="00C90FC5">
              <w:rPr>
                <w:rFonts w:ascii="Arial" w:eastAsia="Times New Roman" w:hAnsi="Arial" w:cs="Arial"/>
                <w:sz w:val="20"/>
                <w:szCs w:val="20"/>
                <w:lang w:eastAsia="en-AU"/>
              </w:rPr>
              <w:t xml:space="preserve"> ensures works are provided in accordance with the requirements set out in Appendix B of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14:paraId="72F7D42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303" w:type="dxa"/>
            <w:tcBorders>
              <w:top w:val="outset" w:sz="6" w:space="0" w:color="auto"/>
              <w:left w:val="outset" w:sz="6" w:space="0" w:color="auto"/>
              <w:bottom w:val="outset" w:sz="6" w:space="0" w:color="auto"/>
              <w:right w:val="outset" w:sz="6" w:space="0" w:color="auto"/>
            </w:tcBorders>
          </w:tcPr>
          <w:p w14:paraId="28940A4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DE73FF1" w14:textId="77777777" w:rsidR="005A3098" w:rsidRDefault="005A3098"/>
    <w:tbl>
      <w:tblPr>
        <w:tblW w:w="4985" w:type="pct"/>
        <w:tblCellSpacing w:w="15" w:type="dxa"/>
        <w:tblInd w:w="4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72"/>
        <w:gridCol w:w="3652"/>
        <w:gridCol w:w="7128"/>
      </w:tblGrid>
      <w:tr w:rsidR="00C90FC5" w:rsidRPr="00C90FC5" w14:paraId="4BA1FB04" w14:textId="77777777" w:rsidTr="005A3098">
        <w:trPr>
          <w:tblCellSpacing w:w="15" w:type="dxa"/>
        </w:trPr>
        <w:tc>
          <w:tcPr>
            <w:tcW w:w="4980" w:type="pct"/>
            <w:gridSpan w:val="3"/>
            <w:tcBorders>
              <w:top w:val="nil"/>
              <w:left w:val="nil"/>
              <w:bottom w:val="nil"/>
              <w:right w:val="nil"/>
            </w:tcBorders>
            <w:shd w:val="clear" w:color="auto" w:fill="CCCCCC"/>
            <w:vAlign w:val="center"/>
            <w:hideMark/>
          </w:tcPr>
          <w:p w14:paraId="5B8D0266" w14:textId="77777777" w:rsidR="00C90FC5" w:rsidRPr="00C90FC5" w:rsidRDefault="005A3098" w:rsidP="00C90FC5">
            <w:pPr>
              <w:spacing w:before="100" w:beforeAutospacing="1" w:after="100" w:afterAutospacing="1" w:line="240" w:lineRule="auto"/>
              <w:jc w:val="center"/>
              <w:rPr>
                <w:rFonts w:ascii="Arial" w:eastAsia="Times New Roman" w:hAnsi="Arial" w:cs="Arial"/>
                <w:sz w:val="20"/>
                <w:szCs w:val="20"/>
                <w:lang w:eastAsia="en-AU"/>
              </w:rPr>
            </w:pPr>
            <w:r>
              <w:br w:type="page"/>
            </w:r>
            <w:r w:rsidR="00C90FC5" w:rsidRPr="00C90FC5">
              <w:rPr>
                <w:rFonts w:ascii="Arial" w:eastAsia="Times New Roman" w:hAnsi="Arial" w:cs="Arial"/>
                <w:b/>
                <w:bCs/>
                <w:sz w:val="20"/>
                <w:szCs w:val="20"/>
                <w:lang w:eastAsia="en-AU"/>
              </w:rPr>
              <w:t>Table 8.2.1.3 Flood planning level for a habitable floor (residential development) and a non-habitable floor (non-residential development) and levels for hazardous chemicals</w:t>
            </w:r>
          </w:p>
        </w:tc>
      </w:tr>
      <w:tr w:rsidR="00C90FC5" w:rsidRPr="00C90FC5" w14:paraId="6F0BFAFD" w14:textId="77777777" w:rsidTr="00C34DE8">
        <w:trPr>
          <w:tblCellSpacing w:w="15" w:type="dxa"/>
        </w:trPr>
        <w:tc>
          <w:tcPr>
            <w:tcW w:w="148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0279AE0" w14:textId="77777777"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lastRenderedPageBreak/>
              <w:t>Coastal planning area</w:t>
            </w:r>
          </w:p>
        </w:tc>
        <w:tc>
          <w:tcPr>
            <w:tcW w:w="1184"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A6D55B9" w14:textId="77777777"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Defined freeboard</w:t>
            </w:r>
          </w:p>
        </w:tc>
        <w:tc>
          <w:tcPr>
            <w:tcW w:w="2298"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F7E6596" w14:textId="77777777"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Flood planning level</w:t>
            </w:r>
          </w:p>
        </w:tc>
      </w:tr>
      <w:tr w:rsidR="00C90FC5" w:rsidRPr="00C90FC5" w14:paraId="59B5C32B" w14:textId="77777777" w:rsidTr="00C34DE8">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14:paraId="39A8B16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outside the Erosion Prone Area.</w:t>
            </w:r>
          </w:p>
        </w:tc>
        <w:tc>
          <w:tcPr>
            <w:tcW w:w="1184" w:type="pct"/>
            <w:tcBorders>
              <w:top w:val="outset" w:sz="6" w:space="0" w:color="auto"/>
              <w:left w:val="outset" w:sz="6" w:space="0" w:color="auto"/>
              <w:bottom w:val="outset" w:sz="6" w:space="0" w:color="auto"/>
              <w:right w:val="outset" w:sz="6" w:space="0" w:color="auto"/>
            </w:tcBorders>
            <w:hideMark/>
          </w:tcPr>
          <w:p w14:paraId="17AA68B4" w14:textId="77777777" w:rsidR="00C90FC5" w:rsidRPr="00C90FC5" w:rsidRDefault="00C90FC5" w:rsidP="00C90FC5">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300mm</w:t>
            </w:r>
          </w:p>
        </w:tc>
        <w:tc>
          <w:tcPr>
            <w:tcW w:w="2298" w:type="pct"/>
            <w:tcBorders>
              <w:top w:val="outset" w:sz="6" w:space="0" w:color="auto"/>
              <w:left w:val="outset" w:sz="6" w:space="0" w:color="auto"/>
              <w:bottom w:val="outset" w:sz="6" w:space="0" w:color="auto"/>
              <w:right w:val="outset" w:sz="6" w:space="0" w:color="auto"/>
            </w:tcBorders>
            <w:hideMark/>
          </w:tcPr>
          <w:p w14:paraId="7F7F824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+ 300mm</w:t>
            </w:r>
          </w:p>
        </w:tc>
      </w:tr>
      <w:tr w:rsidR="00C90FC5" w:rsidRPr="00C90FC5" w14:paraId="6FDF470E" w14:textId="77777777" w:rsidTr="00C34DE8">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14:paraId="2D0D3FAF"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in the Erosion Prone Area.</w:t>
            </w:r>
          </w:p>
        </w:tc>
        <w:tc>
          <w:tcPr>
            <w:tcW w:w="1184" w:type="pct"/>
            <w:tcBorders>
              <w:top w:val="outset" w:sz="6" w:space="0" w:color="auto"/>
              <w:left w:val="outset" w:sz="6" w:space="0" w:color="auto"/>
              <w:bottom w:val="outset" w:sz="6" w:space="0" w:color="auto"/>
              <w:right w:val="outset" w:sz="6" w:space="0" w:color="auto"/>
            </w:tcBorders>
            <w:hideMark/>
          </w:tcPr>
          <w:p w14:paraId="7050E819" w14:textId="77777777" w:rsidR="00C90FC5" w:rsidRPr="00C90FC5" w:rsidRDefault="00C90FC5" w:rsidP="00C90FC5">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500mm</w:t>
            </w:r>
          </w:p>
        </w:tc>
        <w:tc>
          <w:tcPr>
            <w:tcW w:w="2298" w:type="pct"/>
            <w:tcBorders>
              <w:top w:val="outset" w:sz="6" w:space="0" w:color="auto"/>
              <w:left w:val="outset" w:sz="6" w:space="0" w:color="auto"/>
              <w:bottom w:val="outset" w:sz="6" w:space="0" w:color="auto"/>
              <w:right w:val="outset" w:sz="6" w:space="0" w:color="auto"/>
            </w:tcBorders>
            <w:hideMark/>
          </w:tcPr>
          <w:p w14:paraId="6AE50AE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+ 500mm</w:t>
            </w:r>
          </w:p>
        </w:tc>
      </w:tr>
    </w:tbl>
    <w:p w14:paraId="63B5E4E3" w14:textId="77777777" w:rsidR="00C90FC5" w:rsidRPr="00C90FC5" w:rsidRDefault="00C90FC5" w:rsidP="00C90FC5">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4990" w:type="pct"/>
        <w:tblCellSpacing w:w="15" w:type="dxa"/>
        <w:tblInd w:w="16" w:type="dxa"/>
        <w:tblCellMar>
          <w:top w:w="30" w:type="dxa"/>
          <w:left w:w="30" w:type="dxa"/>
          <w:bottom w:w="30" w:type="dxa"/>
          <w:right w:w="30" w:type="dxa"/>
        </w:tblCellMar>
        <w:tblLook w:val="04A0" w:firstRow="1" w:lastRow="0" w:firstColumn="1" w:lastColumn="0" w:noHBand="0" w:noVBand="1"/>
        <w:tblDescription w:val=""/>
      </w:tblPr>
      <w:tblGrid>
        <w:gridCol w:w="15367"/>
      </w:tblGrid>
      <w:tr w:rsidR="00C90FC5" w:rsidRPr="00C90FC5" w14:paraId="209B9BF9" w14:textId="77777777" w:rsidTr="005A3098">
        <w:trPr>
          <w:tblCellSpacing w:w="15" w:type="dxa"/>
        </w:trPr>
        <w:tc>
          <w:tcPr>
            <w:tcW w:w="0" w:type="auto"/>
            <w:vAlign w:val="center"/>
            <w:hideMark/>
          </w:tcPr>
          <w:p w14:paraId="541ABB98" w14:textId="77777777" w:rsidR="00C90FC5" w:rsidRPr="00C90FC5" w:rsidRDefault="00C90FC5" w:rsidP="005A3098">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If the premises is subject to another overlay which states a flood planning level, the flood planning level that provides the highest level of immunity applies. </w:t>
            </w:r>
          </w:p>
        </w:tc>
      </w:tr>
    </w:tbl>
    <w:p w14:paraId="0CBB6C90" w14:textId="77777777" w:rsidR="005A3098" w:rsidRDefault="005A3098"/>
    <w:p w14:paraId="0D408045" w14:textId="77777777" w:rsidR="005A3098" w:rsidRDefault="005A3098"/>
    <w:p w14:paraId="7E859421" w14:textId="77777777" w:rsidR="005A3098" w:rsidRDefault="005A3098"/>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7408"/>
        <w:gridCol w:w="7870"/>
      </w:tblGrid>
      <w:tr w:rsidR="00C90FC5" w:rsidRPr="00C90FC5" w14:paraId="7BE0E529" w14:textId="77777777" w:rsidTr="005A3098">
        <w:trPr>
          <w:tblCellSpacing w:w="15" w:type="dxa"/>
        </w:trPr>
        <w:tc>
          <w:tcPr>
            <w:tcW w:w="0" w:type="auto"/>
            <w:gridSpan w:val="2"/>
            <w:tcBorders>
              <w:top w:val="nil"/>
              <w:left w:val="nil"/>
              <w:bottom w:val="nil"/>
              <w:right w:val="nil"/>
            </w:tcBorders>
            <w:shd w:val="clear" w:color="auto" w:fill="CCCCCC"/>
            <w:tcMar>
              <w:top w:w="30" w:type="dxa"/>
              <w:left w:w="30" w:type="dxa"/>
              <w:bottom w:w="30" w:type="dxa"/>
              <w:right w:w="30" w:type="dxa"/>
            </w:tcMar>
            <w:vAlign w:val="center"/>
            <w:hideMark/>
          </w:tcPr>
          <w:p w14:paraId="6590B79D" w14:textId="77777777" w:rsidR="00C90FC5" w:rsidRPr="00C90FC5" w:rsidRDefault="00C90FC5" w:rsidP="00C90FC5">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8.2.1.4 Fill requirements</w:t>
            </w:r>
          </w:p>
        </w:tc>
      </w:tr>
      <w:tr w:rsidR="00C90FC5" w:rsidRPr="00C90FC5" w14:paraId="3FF51FEF" w14:textId="77777777" w:rsidTr="005A3098">
        <w:trPr>
          <w:tblCellSpacing w:w="15" w:type="dxa"/>
        </w:trPr>
        <w:tc>
          <w:tcPr>
            <w:tcW w:w="24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7DC46202" w14:textId="77777777"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25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71F0DA57" w14:textId="77777777" w:rsidR="00C90FC5" w:rsidRPr="00C90FC5" w:rsidRDefault="00C90FC5" w:rsidP="00C90FC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Fill level</w:t>
            </w:r>
          </w:p>
        </w:tc>
      </w:tr>
      <w:tr w:rsidR="00C90FC5" w:rsidRPr="00C90FC5" w14:paraId="4FAFFD1B" w14:textId="77777777" w:rsidTr="005A3098">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D6F60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Erosion Prone Area.</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6AA55F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C90FC5" w:rsidRPr="00C90FC5" w14:paraId="202818E9" w14:textId="77777777" w:rsidTr="005A3098">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8DC6A2"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309F5D1"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C90FC5" w:rsidRPr="00C90FC5" w14:paraId="62CA1440" w14:textId="77777777" w:rsidTr="005A3098">
        <w:trPr>
          <w:trHeight w:val="900"/>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506F26"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not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C4C9BD" w14:textId="77777777" w:rsidR="008500DC" w:rsidRDefault="008500DC" w:rsidP="00881A0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is only permitted:</w:t>
            </w:r>
          </w:p>
          <w:p w14:paraId="057C35B3" w14:textId="77777777" w:rsidR="00881A0B" w:rsidRDefault="00881A0B" w:rsidP="00881A0B">
            <w:pPr>
              <w:pStyle w:val="ListParagraph"/>
              <w:numPr>
                <w:ilvl w:val="0"/>
                <w:numId w:val="26"/>
              </w:numPr>
              <w:spacing w:after="0" w:line="240" w:lineRule="auto"/>
              <w:ind w:right="150"/>
              <w:rPr>
                <w:rFonts w:eastAsia="Times New Roman" w:cs="Arial"/>
                <w:sz w:val="20"/>
                <w:szCs w:val="20"/>
                <w:lang w:eastAsia="en-AU"/>
              </w:rPr>
            </w:pPr>
            <w:r w:rsidRPr="00881A0B">
              <w:rPr>
                <w:rFonts w:eastAsia="Times New Roman" w:cs="Arial"/>
                <w:sz w:val="20"/>
                <w:szCs w:val="20"/>
                <w:lang w:eastAsia="en-AU"/>
              </w:rPr>
              <w:t>Where for the creation of stormwater infrastructure such as detention basins, bioretention and levees; or</w:t>
            </w:r>
          </w:p>
          <w:p w14:paraId="0924C5EF" w14:textId="77777777" w:rsidR="00C90FC5" w:rsidRPr="00881A0B" w:rsidRDefault="00881A0B" w:rsidP="00881A0B">
            <w:pPr>
              <w:pStyle w:val="ListParagraph"/>
              <w:numPr>
                <w:ilvl w:val="0"/>
                <w:numId w:val="26"/>
              </w:numPr>
              <w:spacing w:after="0" w:line="240" w:lineRule="auto"/>
              <w:ind w:right="150"/>
              <w:rPr>
                <w:rFonts w:eastAsia="Times New Roman" w:cs="Arial"/>
                <w:sz w:val="20"/>
                <w:szCs w:val="20"/>
                <w:lang w:eastAsia="en-AU"/>
              </w:rPr>
            </w:pPr>
            <w:r w:rsidRPr="00881A0B">
              <w:rPr>
                <w:rFonts w:eastAsia="Times New Roman" w:cs="Arial"/>
                <w:sz w:val="20"/>
                <w:szCs w:val="20"/>
                <w:lang w:eastAsia="en-AU"/>
              </w:rPr>
              <w:t>In isolated areas of High risk storm tide inundation where the storm tide maximum flow velocity is less than 0.5 metres per second, filling may be permitted in accordance with the requirements for the Medium risk storm tide inundation area.</w:t>
            </w:r>
          </w:p>
        </w:tc>
      </w:tr>
      <w:tr w:rsidR="00C90FC5" w:rsidRPr="00C90FC5" w14:paraId="4138C657" w14:textId="77777777" w:rsidTr="005A3098">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14:paraId="7D77BE74"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Medium risk storm tide inundation area.</w:t>
            </w:r>
          </w:p>
        </w:tc>
        <w:tc>
          <w:tcPr>
            <w:tcW w:w="2561" w:type="pct"/>
            <w:tcBorders>
              <w:top w:val="outset" w:sz="6" w:space="0" w:color="auto"/>
              <w:left w:val="outset" w:sz="6" w:space="0" w:color="auto"/>
              <w:bottom w:val="outset" w:sz="6" w:space="0" w:color="auto"/>
              <w:right w:val="outset" w:sz="6" w:space="0" w:color="auto"/>
            </w:tcBorders>
            <w:hideMark/>
          </w:tcPr>
          <w:p w14:paraId="75D254DC" w14:textId="77777777" w:rsidR="00881A0B" w:rsidRDefault="00881A0B" w:rsidP="00881A0B">
            <w:pPr>
              <w:spacing w:before="100" w:beforeAutospacing="1" w:after="100" w:afterAutospacing="1" w:line="240" w:lineRule="auto"/>
              <w:ind w:left="150" w:right="150"/>
              <w:rPr>
                <w:rFonts w:ascii="Arial" w:eastAsia="Times New Roman" w:hAnsi="Arial" w:cs="Arial"/>
                <w:sz w:val="20"/>
                <w:szCs w:val="20"/>
                <w:lang w:eastAsia="en-AU"/>
              </w:rPr>
            </w:pPr>
            <w:r w:rsidRPr="00881A0B">
              <w:rPr>
                <w:rFonts w:ascii="Arial" w:eastAsia="Times New Roman" w:hAnsi="Arial" w:cs="Arial"/>
                <w:sz w:val="20"/>
                <w:szCs w:val="20"/>
                <w:lang w:eastAsia="en-AU"/>
              </w:rPr>
              <w:t>For reconfiguring a lot - filling permitted as a minimum to</w:t>
            </w:r>
            <w:r>
              <w:rPr>
                <w:rFonts w:ascii="Arial" w:eastAsia="Times New Roman" w:hAnsi="Arial" w:cs="Arial"/>
                <w:sz w:val="20"/>
                <w:szCs w:val="20"/>
                <w:lang w:eastAsia="en-AU"/>
              </w:rPr>
              <w:t xml:space="preserve"> </w:t>
            </w:r>
            <w:r w:rsidRPr="00881A0B">
              <w:rPr>
                <w:rFonts w:ascii="Arial" w:eastAsia="Times New Roman" w:hAnsi="Arial" w:cs="Arial"/>
                <w:sz w:val="20"/>
                <w:szCs w:val="20"/>
                <w:lang w:eastAsia="en-AU"/>
              </w:rPr>
              <w:t>the Flood planning level.</w:t>
            </w:r>
          </w:p>
          <w:p w14:paraId="210E6B58" w14:textId="77777777" w:rsidR="00C90FC5" w:rsidRPr="00C90FC5" w:rsidRDefault="00881A0B" w:rsidP="00881A0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For all other - </w:t>
            </w:r>
            <w:r w:rsidR="00C90FC5" w:rsidRPr="00C90FC5">
              <w:rPr>
                <w:rFonts w:ascii="Arial" w:eastAsia="Times New Roman" w:hAnsi="Arial" w:cs="Arial"/>
                <w:sz w:val="20"/>
                <w:szCs w:val="20"/>
                <w:lang w:eastAsia="en-AU"/>
              </w:rPr>
              <w:t>Filling permitted as a minimum to the Year 2100 Highest Astronomical Tide level.</w:t>
            </w:r>
          </w:p>
        </w:tc>
      </w:tr>
      <w:tr w:rsidR="00C90FC5" w:rsidRPr="00C90FC5" w14:paraId="3BA8625F" w14:textId="77777777" w:rsidTr="005A3098">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14:paraId="3A1DDA5D"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Balance area of the Coastal planning area.</w:t>
            </w:r>
          </w:p>
        </w:tc>
        <w:tc>
          <w:tcPr>
            <w:tcW w:w="2561" w:type="pct"/>
            <w:tcBorders>
              <w:top w:val="outset" w:sz="6" w:space="0" w:color="auto"/>
              <w:left w:val="outset" w:sz="6" w:space="0" w:color="auto"/>
              <w:bottom w:val="outset" w:sz="6" w:space="0" w:color="auto"/>
              <w:right w:val="outset" w:sz="6" w:space="0" w:color="auto"/>
            </w:tcBorders>
            <w:hideMark/>
          </w:tcPr>
          <w:p w14:paraId="264EE4B3"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Filling </w:t>
            </w:r>
            <w:r w:rsidR="00881A0B">
              <w:rPr>
                <w:rFonts w:ascii="Arial" w:eastAsia="Times New Roman" w:hAnsi="Arial" w:cs="Arial"/>
                <w:sz w:val="20"/>
                <w:szCs w:val="20"/>
                <w:lang w:eastAsia="en-AU"/>
              </w:rPr>
              <w:t>permitted as a minimum to the Flood planning level.</w:t>
            </w:r>
          </w:p>
        </w:tc>
      </w:tr>
    </w:tbl>
    <w:p w14:paraId="45D2AAF5" w14:textId="77777777" w:rsidR="00C90FC5" w:rsidRPr="00C90FC5" w:rsidRDefault="00C90FC5" w:rsidP="00C90FC5">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C90FC5" w:rsidRPr="00C90FC5" w14:paraId="05CBAD6A" w14:textId="77777777" w:rsidTr="00C90FC5">
        <w:trPr>
          <w:tblCellSpacing w:w="15" w:type="dxa"/>
        </w:trPr>
        <w:tc>
          <w:tcPr>
            <w:tcW w:w="0" w:type="auto"/>
            <w:vAlign w:val="center"/>
            <w:hideMark/>
          </w:tcPr>
          <w:p w14:paraId="3DF547AE" w14:textId="77777777" w:rsidR="00C90FC5" w:rsidRPr="00C90FC5" w:rsidRDefault="00C90FC5" w:rsidP="00C90FC5">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The Year 2100 Highest Astronomical Tide level is available on Council's Flood Check </w:t>
            </w:r>
            <w:r w:rsidR="00881A0B">
              <w:rPr>
                <w:rFonts w:ascii="Arial" w:eastAsia="Times New Roman" w:hAnsi="Arial" w:cs="Arial"/>
                <w:sz w:val="20"/>
                <w:szCs w:val="20"/>
                <w:lang w:eastAsia="en-AU"/>
              </w:rPr>
              <w:t>Development Report</w:t>
            </w:r>
            <w:r w:rsidRPr="00C90FC5">
              <w:rPr>
                <w:rFonts w:ascii="Arial" w:eastAsia="Times New Roman" w:hAnsi="Arial" w:cs="Arial"/>
                <w:sz w:val="20"/>
                <w:szCs w:val="20"/>
                <w:lang w:eastAsia="en-AU"/>
              </w:rPr>
              <w:t xml:space="preserve"> via https://www.moretonbay.qld.gov.au/floodcheck/.</w:t>
            </w:r>
          </w:p>
        </w:tc>
      </w:tr>
    </w:tbl>
    <w:p w14:paraId="71C86EC2" w14:textId="77777777" w:rsidR="00641E2E" w:rsidRPr="00C90FC5" w:rsidRDefault="00641E2E" w:rsidP="00C90FC5">
      <w:pPr>
        <w:spacing w:before="100" w:beforeAutospacing="1" w:after="100" w:afterAutospacing="1" w:line="240" w:lineRule="auto"/>
        <w:rPr>
          <w:rFonts w:ascii="Arial" w:hAnsi="Arial" w:cs="Arial"/>
          <w:sz w:val="20"/>
          <w:szCs w:val="20"/>
        </w:rPr>
      </w:pPr>
    </w:p>
    <w:sectPr w:rsidR="00641E2E" w:rsidRPr="00C90FC5" w:rsidSect="00C90FC5">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4BC8" w14:textId="77777777" w:rsidR="00E76680" w:rsidRDefault="00E76680" w:rsidP="00C90FC5">
      <w:pPr>
        <w:spacing w:after="0" w:line="240" w:lineRule="auto"/>
      </w:pPr>
      <w:r>
        <w:separator/>
      </w:r>
    </w:p>
  </w:endnote>
  <w:endnote w:type="continuationSeparator" w:id="0">
    <w:p w14:paraId="4AD853D4" w14:textId="77777777" w:rsidR="00E76680" w:rsidRDefault="00E76680" w:rsidP="00C9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367" w14:textId="77777777" w:rsidR="008450C7" w:rsidRDefault="00845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8A47" w14:textId="209E6557" w:rsidR="00787248" w:rsidRPr="00C90FC5" w:rsidRDefault="00787248" w:rsidP="008450C7">
    <w:pPr>
      <w:pStyle w:val="Footer"/>
      <w:tabs>
        <w:tab w:val="left" w:pos="1356"/>
        <w:tab w:val="center" w:pos="7699"/>
      </w:tabs>
      <w:rPr>
        <w:rFonts w:ascii="Arial" w:hAnsi="Arial" w:cs="Arial"/>
        <w:i/>
        <w:sz w:val="20"/>
        <w:szCs w:val="20"/>
      </w:rPr>
    </w:pPr>
    <w:r w:rsidRPr="005A0BA0">
      <w:rPr>
        <w:rFonts w:ascii="Arial" w:hAnsi="Arial" w:cs="Arial"/>
        <w:i/>
        <w:sz w:val="20"/>
        <w:szCs w:val="20"/>
      </w:rPr>
      <w:t>MBRC Planning Scheme</w:t>
    </w:r>
    <w:r w:rsidR="00450AAE">
      <w:rPr>
        <w:rFonts w:ascii="Arial" w:hAnsi="Arial" w:cs="Arial"/>
        <w:i/>
        <w:sz w:val="20"/>
        <w:szCs w:val="20"/>
      </w:rPr>
      <w:t xml:space="preserve"> Version </w:t>
    </w:r>
    <w:r w:rsidR="008B48A5">
      <w:rPr>
        <w:rFonts w:ascii="Arial" w:hAnsi="Arial" w:cs="Arial"/>
        <w:i/>
        <w:sz w:val="20"/>
        <w:szCs w:val="20"/>
      </w:rPr>
      <w:t>7</w:t>
    </w:r>
    <w:r w:rsidR="00450AAE">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Overlay code - Coastal hazard - </w:t>
    </w:r>
    <w:r w:rsidRPr="005A0BA0">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00F00779">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008450C7">
          <w:rPr>
            <w:rFonts w:ascii="Arial" w:hAnsi="Arial" w:cs="Arial"/>
            <w:sz w:val="20"/>
            <w:szCs w:val="20"/>
          </w:rPr>
          <w:t xml:space="preserve">                    </w:t>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18</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9DE3" w14:textId="77777777" w:rsidR="008450C7" w:rsidRDefault="00845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EB9C" w14:textId="77777777" w:rsidR="00E76680" w:rsidRDefault="00E76680" w:rsidP="00C90FC5">
      <w:pPr>
        <w:spacing w:after="0" w:line="240" w:lineRule="auto"/>
      </w:pPr>
      <w:r>
        <w:separator/>
      </w:r>
    </w:p>
  </w:footnote>
  <w:footnote w:type="continuationSeparator" w:id="0">
    <w:p w14:paraId="659E35C8" w14:textId="77777777" w:rsidR="00E76680" w:rsidRDefault="00E76680" w:rsidP="00C90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E28E" w14:textId="77777777" w:rsidR="008450C7" w:rsidRDefault="00845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5C38" w14:textId="77777777" w:rsidR="008450C7" w:rsidRDefault="00845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FF38" w14:textId="77777777" w:rsidR="008450C7" w:rsidRDefault="00845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498"/>
    <w:multiLevelType w:val="multilevel"/>
    <w:tmpl w:val="AFC4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A59E1"/>
    <w:multiLevelType w:val="multilevel"/>
    <w:tmpl w:val="CB20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3F2488"/>
    <w:multiLevelType w:val="multilevel"/>
    <w:tmpl w:val="7AFA3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4A426D"/>
    <w:multiLevelType w:val="multilevel"/>
    <w:tmpl w:val="30083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9532D7B"/>
    <w:multiLevelType w:val="multilevel"/>
    <w:tmpl w:val="17928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3555B"/>
    <w:multiLevelType w:val="multilevel"/>
    <w:tmpl w:val="88CA4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3F79A9"/>
    <w:multiLevelType w:val="multilevel"/>
    <w:tmpl w:val="4538CF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1642CE"/>
    <w:multiLevelType w:val="multilevel"/>
    <w:tmpl w:val="59BAA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213A0F"/>
    <w:multiLevelType w:val="multilevel"/>
    <w:tmpl w:val="155CD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8E0E5D"/>
    <w:multiLevelType w:val="multilevel"/>
    <w:tmpl w:val="72C08F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C27DD3"/>
    <w:multiLevelType w:val="multilevel"/>
    <w:tmpl w:val="AAE0F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B6382D"/>
    <w:multiLevelType w:val="multilevel"/>
    <w:tmpl w:val="AE348E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982D24"/>
    <w:multiLevelType w:val="multilevel"/>
    <w:tmpl w:val="03C85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008393A"/>
    <w:multiLevelType w:val="multilevel"/>
    <w:tmpl w:val="65165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FD72D5"/>
    <w:multiLevelType w:val="multilevel"/>
    <w:tmpl w:val="32962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2B050B"/>
    <w:multiLevelType w:val="multilevel"/>
    <w:tmpl w:val="2DC2BD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61110F3"/>
    <w:multiLevelType w:val="multilevel"/>
    <w:tmpl w:val="D1A2B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4F73CD"/>
    <w:multiLevelType w:val="multilevel"/>
    <w:tmpl w:val="5A9CA3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E042B9"/>
    <w:multiLevelType w:val="multilevel"/>
    <w:tmpl w:val="ED2EC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C927000"/>
    <w:multiLevelType w:val="multilevel"/>
    <w:tmpl w:val="F4527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833AA5"/>
    <w:multiLevelType w:val="multilevel"/>
    <w:tmpl w:val="37227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1454BF"/>
    <w:multiLevelType w:val="multilevel"/>
    <w:tmpl w:val="C26A1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0B672E"/>
    <w:multiLevelType w:val="multilevel"/>
    <w:tmpl w:val="4BD8F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89D6A01"/>
    <w:multiLevelType w:val="multilevel"/>
    <w:tmpl w:val="C6B6D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A9D2174"/>
    <w:multiLevelType w:val="hybridMultilevel"/>
    <w:tmpl w:val="4D5C175C"/>
    <w:lvl w:ilvl="0" w:tplc="0C09000F">
      <w:start w:val="1"/>
      <w:numFmt w:val="decimal"/>
      <w:lvlText w:val="%1."/>
      <w:lvlJc w:val="left"/>
      <w:pPr>
        <w:ind w:left="870" w:hanging="360"/>
      </w:pPr>
    </w:lvl>
    <w:lvl w:ilvl="1" w:tplc="0C090019">
      <w:start w:val="1"/>
      <w:numFmt w:val="lowerLetter"/>
      <w:lvlText w:val="%2."/>
      <w:lvlJc w:val="left"/>
      <w:pPr>
        <w:ind w:left="1590" w:hanging="360"/>
      </w:pPr>
    </w:lvl>
    <w:lvl w:ilvl="2" w:tplc="0C09001B">
      <w:start w:val="1"/>
      <w:numFmt w:val="lowerRoman"/>
      <w:lvlText w:val="%3."/>
      <w:lvlJc w:val="right"/>
      <w:pPr>
        <w:ind w:left="2310" w:hanging="180"/>
      </w:pPr>
    </w:lvl>
    <w:lvl w:ilvl="3" w:tplc="0C09000F">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num w:numId="1" w16cid:durableId="972515448">
    <w:abstractNumId w:val="20"/>
  </w:num>
  <w:num w:numId="2" w16cid:durableId="1026952330">
    <w:abstractNumId w:val="15"/>
  </w:num>
  <w:num w:numId="3" w16cid:durableId="1995910897">
    <w:abstractNumId w:val="22"/>
  </w:num>
  <w:num w:numId="4" w16cid:durableId="160975105">
    <w:abstractNumId w:val="8"/>
  </w:num>
  <w:num w:numId="5" w16cid:durableId="1765497187">
    <w:abstractNumId w:val="11"/>
  </w:num>
  <w:num w:numId="6" w16cid:durableId="1801682599">
    <w:abstractNumId w:val="9"/>
  </w:num>
  <w:num w:numId="7" w16cid:durableId="222378556">
    <w:abstractNumId w:val="23"/>
  </w:num>
  <w:num w:numId="8" w16cid:durableId="1728989865">
    <w:abstractNumId w:val="7"/>
  </w:num>
  <w:num w:numId="9" w16cid:durableId="541140723">
    <w:abstractNumId w:val="0"/>
  </w:num>
  <w:num w:numId="10" w16cid:durableId="1606188641">
    <w:abstractNumId w:val="3"/>
  </w:num>
  <w:num w:numId="11" w16cid:durableId="92282204">
    <w:abstractNumId w:val="2"/>
  </w:num>
  <w:num w:numId="12" w16cid:durableId="166873576">
    <w:abstractNumId w:val="1"/>
  </w:num>
  <w:num w:numId="13" w16cid:durableId="1408959761">
    <w:abstractNumId w:val="17"/>
  </w:num>
  <w:num w:numId="14" w16cid:durableId="1448039198">
    <w:abstractNumId w:val="21"/>
  </w:num>
  <w:num w:numId="15" w16cid:durableId="1626690542">
    <w:abstractNumId w:val="18"/>
  </w:num>
  <w:num w:numId="16" w16cid:durableId="1843465443">
    <w:abstractNumId w:val="10"/>
  </w:num>
  <w:num w:numId="17" w16cid:durableId="1935817345">
    <w:abstractNumId w:val="16"/>
  </w:num>
  <w:num w:numId="18" w16cid:durableId="1085761772">
    <w:abstractNumId w:val="6"/>
  </w:num>
  <w:num w:numId="19" w16cid:durableId="1726099079">
    <w:abstractNumId w:val="19"/>
  </w:num>
  <w:num w:numId="20" w16cid:durableId="2066366930">
    <w:abstractNumId w:val="24"/>
  </w:num>
  <w:num w:numId="21" w16cid:durableId="1776444375">
    <w:abstractNumId w:val="5"/>
  </w:num>
  <w:num w:numId="22" w16cid:durableId="1494370065">
    <w:abstractNumId w:val="14"/>
  </w:num>
  <w:num w:numId="23" w16cid:durableId="539632619">
    <w:abstractNumId w:val="13"/>
  </w:num>
  <w:num w:numId="24" w16cid:durableId="523328672">
    <w:abstractNumId w:val="4"/>
  </w:num>
  <w:num w:numId="25" w16cid:durableId="99569082">
    <w:abstractNumId w:val="12"/>
  </w:num>
  <w:num w:numId="26" w16cid:durableId="8957770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C5"/>
    <w:rsid w:val="000C159D"/>
    <w:rsid w:val="001072FA"/>
    <w:rsid w:val="00191C81"/>
    <w:rsid w:val="00221DA7"/>
    <w:rsid w:val="00450AAE"/>
    <w:rsid w:val="004869D2"/>
    <w:rsid w:val="004E0E41"/>
    <w:rsid w:val="005A3098"/>
    <w:rsid w:val="0062293D"/>
    <w:rsid w:val="00641E2E"/>
    <w:rsid w:val="006422D6"/>
    <w:rsid w:val="006D2C67"/>
    <w:rsid w:val="00787248"/>
    <w:rsid w:val="00830961"/>
    <w:rsid w:val="008450C7"/>
    <w:rsid w:val="008500DC"/>
    <w:rsid w:val="00881A0B"/>
    <w:rsid w:val="008B48A5"/>
    <w:rsid w:val="008C57EF"/>
    <w:rsid w:val="009E61E9"/>
    <w:rsid w:val="00BA7A31"/>
    <w:rsid w:val="00C34DE8"/>
    <w:rsid w:val="00C90FC5"/>
    <w:rsid w:val="00D004AB"/>
    <w:rsid w:val="00D15CF4"/>
    <w:rsid w:val="00DF2958"/>
    <w:rsid w:val="00E76680"/>
    <w:rsid w:val="00F00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A093"/>
  <w15:chartTrackingRefBased/>
  <w15:docId w15:val="{7066D250-4BC1-48AA-BDE4-B506A3F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0FC5"/>
    <w:rPr>
      <w:i/>
      <w:iCs/>
    </w:rPr>
  </w:style>
  <w:style w:type="character" w:styleId="Strong">
    <w:name w:val="Strong"/>
    <w:basedOn w:val="DefaultParagraphFont"/>
    <w:uiPriority w:val="22"/>
    <w:qFormat/>
    <w:rsid w:val="00C90FC5"/>
    <w:rPr>
      <w:b/>
      <w:bCs/>
    </w:rPr>
  </w:style>
  <w:style w:type="paragraph" w:styleId="Header">
    <w:name w:val="header"/>
    <w:basedOn w:val="Normal"/>
    <w:link w:val="HeaderChar"/>
    <w:uiPriority w:val="99"/>
    <w:unhideWhenUsed/>
    <w:rsid w:val="00C90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C5"/>
  </w:style>
  <w:style w:type="paragraph" w:styleId="Footer">
    <w:name w:val="footer"/>
    <w:basedOn w:val="Normal"/>
    <w:link w:val="FooterChar"/>
    <w:uiPriority w:val="99"/>
    <w:unhideWhenUsed/>
    <w:rsid w:val="00C90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C5"/>
  </w:style>
  <w:style w:type="paragraph" w:styleId="ListParagraph">
    <w:name w:val="List Paragraph"/>
    <w:basedOn w:val="Normal"/>
    <w:uiPriority w:val="34"/>
    <w:qFormat/>
    <w:rsid w:val="00C90FC5"/>
    <w:pPr>
      <w:spacing w:after="200" w:line="276" w:lineRule="auto"/>
      <w:ind w:left="720"/>
      <w:contextualSpacing/>
    </w:pPr>
    <w:rPr>
      <w:rFonts w:ascii="Arial" w:hAnsi="Arial"/>
    </w:rPr>
  </w:style>
  <w:style w:type="character" w:styleId="Hyperlink">
    <w:name w:val="Hyperlink"/>
    <w:basedOn w:val="DefaultParagraphFont"/>
    <w:uiPriority w:val="99"/>
    <w:unhideWhenUsed/>
    <w:rsid w:val="00787248"/>
    <w:rPr>
      <w:color w:val="0563C1" w:themeColor="hyperlink"/>
      <w:u w:val="single"/>
    </w:rPr>
  </w:style>
  <w:style w:type="character" w:styleId="UnresolvedMention">
    <w:name w:val="Unresolved Mention"/>
    <w:basedOn w:val="DefaultParagraphFont"/>
    <w:uiPriority w:val="99"/>
    <w:semiHidden/>
    <w:unhideWhenUsed/>
    <w:rsid w:val="00787248"/>
    <w:rPr>
      <w:color w:val="605E5C"/>
      <w:shd w:val="clear" w:color="auto" w:fill="E1DFDD"/>
    </w:rPr>
  </w:style>
  <w:style w:type="character" w:styleId="FollowedHyperlink">
    <w:name w:val="FollowedHyperlink"/>
    <w:basedOn w:val="DefaultParagraphFont"/>
    <w:uiPriority w:val="99"/>
    <w:semiHidden/>
    <w:unhideWhenUsed/>
    <w:rsid w:val="00787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13090">
      <w:bodyDiv w:val="1"/>
      <w:marLeft w:val="0"/>
      <w:marRight w:val="0"/>
      <w:marTop w:val="0"/>
      <w:marBottom w:val="0"/>
      <w:divBdr>
        <w:top w:val="none" w:sz="0" w:space="0" w:color="auto"/>
        <w:left w:val="none" w:sz="0" w:space="0" w:color="auto"/>
        <w:bottom w:val="none" w:sz="0" w:space="0" w:color="auto"/>
        <w:right w:val="none" w:sz="0" w:space="0" w:color="auto"/>
      </w:divBdr>
      <w:divsChild>
        <w:div w:id="82068517">
          <w:marLeft w:val="0"/>
          <w:marRight w:val="0"/>
          <w:marTop w:val="0"/>
          <w:marBottom w:val="0"/>
          <w:divBdr>
            <w:top w:val="none" w:sz="0" w:space="0" w:color="auto"/>
            <w:left w:val="none" w:sz="0" w:space="0" w:color="auto"/>
            <w:bottom w:val="none" w:sz="0" w:space="0" w:color="auto"/>
            <w:right w:val="none" w:sz="0" w:space="0" w:color="auto"/>
          </w:divBdr>
          <w:divsChild>
            <w:div w:id="423305568">
              <w:marLeft w:val="0"/>
              <w:marRight w:val="0"/>
              <w:marTop w:val="150"/>
              <w:marBottom w:val="0"/>
              <w:divBdr>
                <w:top w:val="none" w:sz="0" w:space="0" w:color="auto"/>
                <w:left w:val="none" w:sz="0" w:space="0" w:color="auto"/>
                <w:bottom w:val="none" w:sz="0" w:space="0" w:color="auto"/>
                <w:right w:val="none" w:sz="0" w:space="0" w:color="auto"/>
              </w:divBdr>
              <w:divsChild>
                <w:div w:id="1476292620">
                  <w:marLeft w:val="3300"/>
                  <w:marRight w:val="0"/>
                  <w:marTop w:val="0"/>
                  <w:marBottom w:val="0"/>
                  <w:divBdr>
                    <w:top w:val="none" w:sz="0" w:space="0" w:color="auto"/>
                    <w:left w:val="none" w:sz="0" w:space="0" w:color="auto"/>
                    <w:bottom w:val="none" w:sz="0" w:space="0" w:color="auto"/>
                    <w:right w:val="none" w:sz="0" w:space="0" w:color="auto"/>
                  </w:divBdr>
                  <w:divsChild>
                    <w:div w:id="1205293077">
                      <w:marLeft w:val="0"/>
                      <w:marRight w:val="0"/>
                      <w:marTop w:val="0"/>
                      <w:marBottom w:val="0"/>
                      <w:divBdr>
                        <w:top w:val="single" w:sz="6" w:space="7" w:color="A8A8A8"/>
                        <w:left w:val="single" w:sz="2" w:space="14" w:color="A8A8A8"/>
                        <w:bottom w:val="single" w:sz="6" w:space="7" w:color="A8A8A8"/>
                        <w:right w:val="single" w:sz="2" w:space="14" w:color="A8A8A8"/>
                      </w:divBdr>
                      <w:divsChild>
                        <w:div w:id="1671983838">
                          <w:marLeft w:val="0"/>
                          <w:marRight w:val="0"/>
                          <w:marTop w:val="0"/>
                          <w:marBottom w:val="0"/>
                          <w:divBdr>
                            <w:top w:val="none" w:sz="0" w:space="0" w:color="auto"/>
                            <w:left w:val="none" w:sz="0" w:space="0" w:color="auto"/>
                            <w:bottom w:val="none" w:sz="0" w:space="0" w:color="auto"/>
                            <w:right w:val="none" w:sz="0" w:space="0" w:color="auto"/>
                          </w:divBdr>
                          <w:divsChild>
                            <w:div w:id="1907567742">
                              <w:marLeft w:val="0"/>
                              <w:marRight w:val="0"/>
                              <w:marTop w:val="0"/>
                              <w:marBottom w:val="0"/>
                              <w:divBdr>
                                <w:top w:val="none" w:sz="0" w:space="0" w:color="auto"/>
                                <w:left w:val="none" w:sz="0" w:space="0" w:color="auto"/>
                                <w:bottom w:val="none" w:sz="0" w:space="0" w:color="auto"/>
                                <w:right w:val="none" w:sz="0" w:space="0" w:color="auto"/>
                              </w:divBdr>
                              <w:divsChild>
                                <w:div w:id="1863738808">
                                  <w:marLeft w:val="0"/>
                                  <w:marRight w:val="0"/>
                                  <w:marTop w:val="0"/>
                                  <w:marBottom w:val="0"/>
                                  <w:divBdr>
                                    <w:top w:val="none" w:sz="0" w:space="0" w:color="auto"/>
                                    <w:left w:val="none" w:sz="0" w:space="0" w:color="auto"/>
                                    <w:bottom w:val="none" w:sz="0" w:space="0" w:color="auto"/>
                                    <w:right w:val="none" w:sz="0" w:space="0" w:color="auto"/>
                                  </w:divBdr>
                                  <w:divsChild>
                                    <w:div w:id="1920359467">
                                      <w:marLeft w:val="0"/>
                                      <w:marRight w:val="0"/>
                                      <w:marTop w:val="0"/>
                                      <w:marBottom w:val="0"/>
                                      <w:divBdr>
                                        <w:top w:val="none" w:sz="0" w:space="0" w:color="auto"/>
                                        <w:left w:val="none" w:sz="0" w:space="0" w:color="auto"/>
                                        <w:bottom w:val="none" w:sz="0" w:space="0" w:color="auto"/>
                                        <w:right w:val="none" w:sz="0" w:space="0" w:color="auto"/>
                                      </w:divBdr>
                                      <w:divsChild>
                                        <w:div w:id="1821385036">
                                          <w:marLeft w:val="0"/>
                                          <w:marRight w:val="0"/>
                                          <w:marTop w:val="0"/>
                                          <w:marBottom w:val="0"/>
                                          <w:divBdr>
                                            <w:top w:val="none" w:sz="0" w:space="0" w:color="auto"/>
                                            <w:left w:val="none" w:sz="0" w:space="0" w:color="auto"/>
                                            <w:bottom w:val="none" w:sz="0" w:space="0" w:color="auto"/>
                                            <w:right w:val="none" w:sz="0" w:space="0" w:color="auto"/>
                                          </w:divBdr>
                                          <w:divsChild>
                                            <w:div w:id="1601065492">
                                              <w:marLeft w:val="0"/>
                                              <w:marRight w:val="0"/>
                                              <w:marTop w:val="0"/>
                                              <w:marBottom w:val="0"/>
                                              <w:divBdr>
                                                <w:top w:val="none" w:sz="0" w:space="0" w:color="auto"/>
                                                <w:left w:val="none" w:sz="0" w:space="0" w:color="auto"/>
                                                <w:bottom w:val="none" w:sz="0" w:space="0" w:color="auto"/>
                                                <w:right w:val="none" w:sz="0" w:space="0" w:color="auto"/>
                                              </w:divBdr>
                                              <w:divsChild>
                                                <w:div w:id="283539404">
                                                  <w:marLeft w:val="0"/>
                                                  <w:marRight w:val="0"/>
                                                  <w:marTop w:val="0"/>
                                                  <w:marBottom w:val="0"/>
                                                  <w:divBdr>
                                                    <w:top w:val="none" w:sz="0" w:space="0" w:color="auto"/>
                                                    <w:left w:val="none" w:sz="0" w:space="0" w:color="auto"/>
                                                    <w:bottom w:val="none" w:sz="0" w:space="0" w:color="auto"/>
                                                    <w:right w:val="none" w:sz="0" w:space="0" w:color="auto"/>
                                                  </w:divBdr>
                                                  <w:divsChild>
                                                    <w:div w:id="248739075">
                                                      <w:marLeft w:val="0"/>
                                                      <w:marRight w:val="0"/>
                                                      <w:marTop w:val="0"/>
                                                      <w:marBottom w:val="0"/>
                                                      <w:divBdr>
                                                        <w:top w:val="none" w:sz="0" w:space="0" w:color="auto"/>
                                                        <w:left w:val="none" w:sz="0" w:space="0" w:color="auto"/>
                                                        <w:bottom w:val="none" w:sz="0" w:space="0" w:color="auto"/>
                                                        <w:right w:val="none" w:sz="0" w:space="0" w:color="auto"/>
                                                      </w:divBdr>
                                                    </w:div>
                                                  </w:divsChild>
                                                </w:div>
                                                <w:div w:id="922909822">
                                                  <w:marLeft w:val="0"/>
                                                  <w:marRight w:val="0"/>
                                                  <w:marTop w:val="0"/>
                                                  <w:marBottom w:val="0"/>
                                                  <w:divBdr>
                                                    <w:top w:val="none" w:sz="0" w:space="0" w:color="auto"/>
                                                    <w:left w:val="none" w:sz="0" w:space="0" w:color="auto"/>
                                                    <w:bottom w:val="none" w:sz="0" w:space="0" w:color="auto"/>
                                                    <w:right w:val="none" w:sz="0" w:space="0" w:color="auto"/>
                                                  </w:divBdr>
                                                  <w:divsChild>
                                                    <w:div w:id="829370106">
                                                      <w:marLeft w:val="0"/>
                                                      <w:marRight w:val="0"/>
                                                      <w:marTop w:val="0"/>
                                                      <w:marBottom w:val="0"/>
                                                      <w:divBdr>
                                                        <w:top w:val="none" w:sz="0" w:space="0" w:color="auto"/>
                                                        <w:left w:val="none" w:sz="0" w:space="0" w:color="auto"/>
                                                        <w:bottom w:val="none" w:sz="0" w:space="0" w:color="auto"/>
                                                        <w:right w:val="none" w:sz="0" w:space="0" w:color="auto"/>
                                                      </w:divBdr>
                                                    </w:div>
                                                  </w:divsChild>
                                                </w:div>
                                                <w:div w:id="363869030">
                                                  <w:marLeft w:val="0"/>
                                                  <w:marRight w:val="0"/>
                                                  <w:marTop w:val="0"/>
                                                  <w:marBottom w:val="0"/>
                                                  <w:divBdr>
                                                    <w:top w:val="none" w:sz="0" w:space="0" w:color="auto"/>
                                                    <w:left w:val="none" w:sz="0" w:space="0" w:color="auto"/>
                                                    <w:bottom w:val="none" w:sz="0" w:space="0" w:color="auto"/>
                                                    <w:right w:val="none" w:sz="0" w:space="0" w:color="auto"/>
                                                  </w:divBdr>
                                                  <w:divsChild>
                                                    <w:div w:id="1775132649">
                                                      <w:marLeft w:val="0"/>
                                                      <w:marRight w:val="0"/>
                                                      <w:marTop w:val="0"/>
                                                      <w:marBottom w:val="0"/>
                                                      <w:divBdr>
                                                        <w:top w:val="none" w:sz="0" w:space="0" w:color="auto"/>
                                                        <w:left w:val="none" w:sz="0" w:space="0" w:color="auto"/>
                                                        <w:bottom w:val="none" w:sz="0" w:space="0" w:color="auto"/>
                                                        <w:right w:val="none" w:sz="0" w:space="0" w:color="auto"/>
                                                      </w:divBdr>
                                                    </w:div>
                                                  </w:divsChild>
                                                </w:div>
                                                <w:div w:id="203299151">
                                                  <w:marLeft w:val="0"/>
                                                  <w:marRight w:val="0"/>
                                                  <w:marTop w:val="0"/>
                                                  <w:marBottom w:val="0"/>
                                                  <w:divBdr>
                                                    <w:top w:val="none" w:sz="0" w:space="0" w:color="auto"/>
                                                    <w:left w:val="none" w:sz="0" w:space="0" w:color="auto"/>
                                                    <w:bottom w:val="none" w:sz="0" w:space="0" w:color="auto"/>
                                                    <w:right w:val="none" w:sz="0" w:space="0" w:color="auto"/>
                                                  </w:divBdr>
                                                  <w:divsChild>
                                                    <w:div w:id="766312538">
                                                      <w:marLeft w:val="0"/>
                                                      <w:marRight w:val="0"/>
                                                      <w:marTop w:val="0"/>
                                                      <w:marBottom w:val="0"/>
                                                      <w:divBdr>
                                                        <w:top w:val="none" w:sz="0" w:space="0" w:color="auto"/>
                                                        <w:left w:val="none" w:sz="0" w:space="0" w:color="auto"/>
                                                        <w:bottom w:val="none" w:sz="0" w:space="0" w:color="auto"/>
                                                        <w:right w:val="none" w:sz="0" w:space="0" w:color="auto"/>
                                                      </w:divBdr>
                                                    </w:div>
                                                  </w:divsChild>
                                                </w:div>
                                                <w:div w:id="622884794">
                                                  <w:marLeft w:val="0"/>
                                                  <w:marRight w:val="0"/>
                                                  <w:marTop w:val="0"/>
                                                  <w:marBottom w:val="0"/>
                                                  <w:divBdr>
                                                    <w:top w:val="none" w:sz="0" w:space="0" w:color="auto"/>
                                                    <w:left w:val="none" w:sz="0" w:space="0" w:color="auto"/>
                                                    <w:bottom w:val="none" w:sz="0" w:space="0" w:color="auto"/>
                                                    <w:right w:val="none" w:sz="0" w:space="0" w:color="auto"/>
                                                  </w:divBdr>
                                                  <w:divsChild>
                                                    <w:div w:id="936405764">
                                                      <w:marLeft w:val="0"/>
                                                      <w:marRight w:val="0"/>
                                                      <w:marTop w:val="0"/>
                                                      <w:marBottom w:val="0"/>
                                                      <w:divBdr>
                                                        <w:top w:val="none" w:sz="0" w:space="0" w:color="auto"/>
                                                        <w:left w:val="none" w:sz="0" w:space="0" w:color="auto"/>
                                                        <w:bottom w:val="none" w:sz="0" w:space="0" w:color="auto"/>
                                                        <w:right w:val="none" w:sz="0" w:space="0" w:color="auto"/>
                                                      </w:divBdr>
                                                    </w:div>
                                                  </w:divsChild>
                                                </w:div>
                                                <w:div w:id="1815101174">
                                                  <w:marLeft w:val="0"/>
                                                  <w:marRight w:val="0"/>
                                                  <w:marTop w:val="0"/>
                                                  <w:marBottom w:val="0"/>
                                                  <w:divBdr>
                                                    <w:top w:val="none" w:sz="0" w:space="0" w:color="auto"/>
                                                    <w:left w:val="none" w:sz="0" w:space="0" w:color="auto"/>
                                                    <w:bottom w:val="none" w:sz="0" w:space="0" w:color="auto"/>
                                                    <w:right w:val="none" w:sz="0" w:space="0" w:color="auto"/>
                                                  </w:divBdr>
                                                  <w:divsChild>
                                                    <w:div w:id="1249654233">
                                                      <w:marLeft w:val="0"/>
                                                      <w:marRight w:val="0"/>
                                                      <w:marTop w:val="0"/>
                                                      <w:marBottom w:val="0"/>
                                                      <w:divBdr>
                                                        <w:top w:val="none" w:sz="0" w:space="0" w:color="auto"/>
                                                        <w:left w:val="none" w:sz="0" w:space="0" w:color="auto"/>
                                                        <w:bottom w:val="none" w:sz="0" w:space="0" w:color="auto"/>
                                                        <w:right w:val="none" w:sz="0" w:space="0" w:color="auto"/>
                                                      </w:divBdr>
                                                    </w:div>
                                                  </w:divsChild>
                                                </w:div>
                                                <w:div w:id="1148204960">
                                                  <w:marLeft w:val="0"/>
                                                  <w:marRight w:val="0"/>
                                                  <w:marTop w:val="0"/>
                                                  <w:marBottom w:val="0"/>
                                                  <w:divBdr>
                                                    <w:top w:val="none" w:sz="0" w:space="0" w:color="auto"/>
                                                    <w:left w:val="none" w:sz="0" w:space="0" w:color="auto"/>
                                                    <w:bottom w:val="none" w:sz="0" w:space="0" w:color="auto"/>
                                                    <w:right w:val="none" w:sz="0" w:space="0" w:color="auto"/>
                                                  </w:divBdr>
                                                  <w:divsChild>
                                                    <w:div w:id="1324971792">
                                                      <w:marLeft w:val="0"/>
                                                      <w:marRight w:val="0"/>
                                                      <w:marTop w:val="0"/>
                                                      <w:marBottom w:val="0"/>
                                                      <w:divBdr>
                                                        <w:top w:val="none" w:sz="0" w:space="0" w:color="auto"/>
                                                        <w:left w:val="none" w:sz="0" w:space="0" w:color="auto"/>
                                                        <w:bottom w:val="none" w:sz="0" w:space="0" w:color="auto"/>
                                                        <w:right w:val="none" w:sz="0" w:space="0" w:color="auto"/>
                                                      </w:divBdr>
                                                    </w:div>
                                                  </w:divsChild>
                                                </w:div>
                                                <w:div w:id="1083068831">
                                                  <w:marLeft w:val="0"/>
                                                  <w:marRight w:val="0"/>
                                                  <w:marTop w:val="0"/>
                                                  <w:marBottom w:val="0"/>
                                                  <w:divBdr>
                                                    <w:top w:val="none" w:sz="0" w:space="0" w:color="auto"/>
                                                    <w:left w:val="none" w:sz="0" w:space="0" w:color="auto"/>
                                                    <w:bottom w:val="none" w:sz="0" w:space="0" w:color="auto"/>
                                                    <w:right w:val="none" w:sz="0" w:space="0" w:color="auto"/>
                                                  </w:divBdr>
                                                  <w:divsChild>
                                                    <w:div w:id="1832217679">
                                                      <w:marLeft w:val="0"/>
                                                      <w:marRight w:val="0"/>
                                                      <w:marTop w:val="0"/>
                                                      <w:marBottom w:val="0"/>
                                                      <w:divBdr>
                                                        <w:top w:val="none" w:sz="0" w:space="0" w:color="auto"/>
                                                        <w:left w:val="none" w:sz="0" w:space="0" w:color="auto"/>
                                                        <w:bottom w:val="none" w:sz="0" w:space="0" w:color="auto"/>
                                                        <w:right w:val="none" w:sz="0" w:space="0" w:color="auto"/>
                                                      </w:divBdr>
                                                    </w:div>
                                                  </w:divsChild>
                                                </w:div>
                                                <w:div w:id="244730696">
                                                  <w:marLeft w:val="0"/>
                                                  <w:marRight w:val="0"/>
                                                  <w:marTop w:val="0"/>
                                                  <w:marBottom w:val="0"/>
                                                  <w:divBdr>
                                                    <w:top w:val="none" w:sz="0" w:space="0" w:color="auto"/>
                                                    <w:left w:val="none" w:sz="0" w:space="0" w:color="auto"/>
                                                    <w:bottom w:val="none" w:sz="0" w:space="0" w:color="auto"/>
                                                    <w:right w:val="none" w:sz="0" w:space="0" w:color="auto"/>
                                                  </w:divBdr>
                                                  <w:divsChild>
                                                    <w:div w:id="989942957">
                                                      <w:marLeft w:val="0"/>
                                                      <w:marRight w:val="0"/>
                                                      <w:marTop w:val="0"/>
                                                      <w:marBottom w:val="0"/>
                                                      <w:divBdr>
                                                        <w:top w:val="none" w:sz="0" w:space="0" w:color="auto"/>
                                                        <w:left w:val="none" w:sz="0" w:space="0" w:color="auto"/>
                                                        <w:bottom w:val="none" w:sz="0" w:space="0" w:color="auto"/>
                                                        <w:right w:val="none" w:sz="0" w:space="0" w:color="auto"/>
                                                      </w:divBdr>
                                                    </w:div>
                                                  </w:divsChild>
                                                </w:div>
                                                <w:div w:id="1592619674">
                                                  <w:marLeft w:val="0"/>
                                                  <w:marRight w:val="0"/>
                                                  <w:marTop w:val="0"/>
                                                  <w:marBottom w:val="0"/>
                                                  <w:divBdr>
                                                    <w:top w:val="none" w:sz="0" w:space="0" w:color="auto"/>
                                                    <w:left w:val="none" w:sz="0" w:space="0" w:color="auto"/>
                                                    <w:bottom w:val="none" w:sz="0" w:space="0" w:color="auto"/>
                                                    <w:right w:val="none" w:sz="0" w:space="0" w:color="auto"/>
                                                  </w:divBdr>
                                                  <w:divsChild>
                                                    <w:div w:id="960768913">
                                                      <w:marLeft w:val="0"/>
                                                      <w:marRight w:val="0"/>
                                                      <w:marTop w:val="0"/>
                                                      <w:marBottom w:val="0"/>
                                                      <w:divBdr>
                                                        <w:top w:val="none" w:sz="0" w:space="0" w:color="auto"/>
                                                        <w:left w:val="none" w:sz="0" w:space="0" w:color="auto"/>
                                                        <w:bottom w:val="none" w:sz="0" w:space="0" w:color="auto"/>
                                                        <w:right w:val="none" w:sz="0" w:space="0" w:color="auto"/>
                                                      </w:divBdr>
                                                    </w:div>
                                                  </w:divsChild>
                                                </w:div>
                                                <w:div w:id="1838840123">
                                                  <w:marLeft w:val="0"/>
                                                  <w:marRight w:val="0"/>
                                                  <w:marTop w:val="0"/>
                                                  <w:marBottom w:val="0"/>
                                                  <w:divBdr>
                                                    <w:top w:val="none" w:sz="0" w:space="0" w:color="auto"/>
                                                    <w:left w:val="none" w:sz="0" w:space="0" w:color="auto"/>
                                                    <w:bottom w:val="none" w:sz="0" w:space="0" w:color="auto"/>
                                                    <w:right w:val="none" w:sz="0" w:space="0" w:color="auto"/>
                                                  </w:divBdr>
                                                  <w:divsChild>
                                                    <w:div w:id="1354381619">
                                                      <w:marLeft w:val="0"/>
                                                      <w:marRight w:val="0"/>
                                                      <w:marTop w:val="0"/>
                                                      <w:marBottom w:val="0"/>
                                                      <w:divBdr>
                                                        <w:top w:val="none" w:sz="0" w:space="0" w:color="auto"/>
                                                        <w:left w:val="none" w:sz="0" w:space="0" w:color="auto"/>
                                                        <w:bottom w:val="none" w:sz="0" w:space="0" w:color="auto"/>
                                                        <w:right w:val="none" w:sz="0" w:space="0" w:color="auto"/>
                                                      </w:divBdr>
                                                    </w:div>
                                                  </w:divsChild>
                                                </w:div>
                                                <w:div w:id="1893730918">
                                                  <w:marLeft w:val="0"/>
                                                  <w:marRight w:val="0"/>
                                                  <w:marTop w:val="0"/>
                                                  <w:marBottom w:val="0"/>
                                                  <w:divBdr>
                                                    <w:top w:val="none" w:sz="0" w:space="0" w:color="auto"/>
                                                    <w:left w:val="none" w:sz="0" w:space="0" w:color="auto"/>
                                                    <w:bottom w:val="none" w:sz="0" w:space="0" w:color="auto"/>
                                                    <w:right w:val="none" w:sz="0" w:space="0" w:color="auto"/>
                                                  </w:divBdr>
                                                  <w:divsChild>
                                                    <w:div w:id="1368986001">
                                                      <w:marLeft w:val="0"/>
                                                      <w:marRight w:val="0"/>
                                                      <w:marTop w:val="0"/>
                                                      <w:marBottom w:val="0"/>
                                                      <w:divBdr>
                                                        <w:top w:val="none" w:sz="0" w:space="0" w:color="auto"/>
                                                        <w:left w:val="none" w:sz="0" w:space="0" w:color="auto"/>
                                                        <w:bottom w:val="none" w:sz="0" w:space="0" w:color="auto"/>
                                                        <w:right w:val="none" w:sz="0" w:space="0" w:color="auto"/>
                                                      </w:divBdr>
                                                    </w:div>
                                                  </w:divsChild>
                                                </w:div>
                                                <w:div w:id="305859217">
                                                  <w:marLeft w:val="0"/>
                                                  <w:marRight w:val="0"/>
                                                  <w:marTop w:val="0"/>
                                                  <w:marBottom w:val="0"/>
                                                  <w:divBdr>
                                                    <w:top w:val="none" w:sz="0" w:space="0" w:color="auto"/>
                                                    <w:left w:val="none" w:sz="0" w:space="0" w:color="auto"/>
                                                    <w:bottom w:val="none" w:sz="0" w:space="0" w:color="auto"/>
                                                    <w:right w:val="none" w:sz="0" w:space="0" w:color="auto"/>
                                                  </w:divBdr>
                                                  <w:divsChild>
                                                    <w:div w:id="1723020916">
                                                      <w:marLeft w:val="0"/>
                                                      <w:marRight w:val="0"/>
                                                      <w:marTop w:val="0"/>
                                                      <w:marBottom w:val="0"/>
                                                      <w:divBdr>
                                                        <w:top w:val="none" w:sz="0" w:space="0" w:color="auto"/>
                                                        <w:left w:val="none" w:sz="0" w:space="0" w:color="auto"/>
                                                        <w:bottom w:val="none" w:sz="0" w:space="0" w:color="auto"/>
                                                        <w:right w:val="none" w:sz="0" w:space="0" w:color="auto"/>
                                                      </w:divBdr>
                                                    </w:div>
                                                  </w:divsChild>
                                                </w:div>
                                                <w:div w:id="1985088621">
                                                  <w:marLeft w:val="0"/>
                                                  <w:marRight w:val="0"/>
                                                  <w:marTop w:val="0"/>
                                                  <w:marBottom w:val="0"/>
                                                  <w:divBdr>
                                                    <w:top w:val="none" w:sz="0" w:space="0" w:color="auto"/>
                                                    <w:left w:val="none" w:sz="0" w:space="0" w:color="auto"/>
                                                    <w:bottom w:val="none" w:sz="0" w:space="0" w:color="auto"/>
                                                    <w:right w:val="none" w:sz="0" w:space="0" w:color="auto"/>
                                                  </w:divBdr>
                                                  <w:divsChild>
                                                    <w:div w:id="1243639772">
                                                      <w:marLeft w:val="0"/>
                                                      <w:marRight w:val="0"/>
                                                      <w:marTop w:val="0"/>
                                                      <w:marBottom w:val="0"/>
                                                      <w:divBdr>
                                                        <w:top w:val="none" w:sz="0" w:space="0" w:color="auto"/>
                                                        <w:left w:val="none" w:sz="0" w:space="0" w:color="auto"/>
                                                        <w:bottom w:val="none" w:sz="0" w:space="0" w:color="auto"/>
                                                        <w:right w:val="none" w:sz="0" w:space="0" w:color="auto"/>
                                                      </w:divBdr>
                                                    </w:div>
                                                  </w:divsChild>
                                                </w:div>
                                                <w:div w:id="153224853">
                                                  <w:marLeft w:val="0"/>
                                                  <w:marRight w:val="0"/>
                                                  <w:marTop w:val="0"/>
                                                  <w:marBottom w:val="0"/>
                                                  <w:divBdr>
                                                    <w:top w:val="none" w:sz="0" w:space="0" w:color="auto"/>
                                                    <w:left w:val="none" w:sz="0" w:space="0" w:color="auto"/>
                                                    <w:bottom w:val="none" w:sz="0" w:space="0" w:color="auto"/>
                                                    <w:right w:val="none" w:sz="0" w:space="0" w:color="auto"/>
                                                  </w:divBdr>
                                                  <w:divsChild>
                                                    <w:div w:id="1947998864">
                                                      <w:marLeft w:val="0"/>
                                                      <w:marRight w:val="0"/>
                                                      <w:marTop w:val="0"/>
                                                      <w:marBottom w:val="0"/>
                                                      <w:divBdr>
                                                        <w:top w:val="none" w:sz="0" w:space="0" w:color="auto"/>
                                                        <w:left w:val="none" w:sz="0" w:space="0" w:color="auto"/>
                                                        <w:bottom w:val="none" w:sz="0" w:space="0" w:color="auto"/>
                                                        <w:right w:val="none" w:sz="0" w:space="0" w:color="auto"/>
                                                      </w:divBdr>
                                                    </w:div>
                                                  </w:divsChild>
                                                </w:div>
                                                <w:div w:id="1720133883">
                                                  <w:marLeft w:val="0"/>
                                                  <w:marRight w:val="0"/>
                                                  <w:marTop w:val="0"/>
                                                  <w:marBottom w:val="0"/>
                                                  <w:divBdr>
                                                    <w:top w:val="none" w:sz="0" w:space="0" w:color="auto"/>
                                                    <w:left w:val="none" w:sz="0" w:space="0" w:color="auto"/>
                                                    <w:bottom w:val="none" w:sz="0" w:space="0" w:color="auto"/>
                                                    <w:right w:val="none" w:sz="0" w:space="0" w:color="auto"/>
                                                  </w:divBdr>
                                                  <w:divsChild>
                                                    <w:div w:id="529419475">
                                                      <w:marLeft w:val="0"/>
                                                      <w:marRight w:val="0"/>
                                                      <w:marTop w:val="0"/>
                                                      <w:marBottom w:val="0"/>
                                                      <w:divBdr>
                                                        <w:top w:val="none" w:sz="0" w:space="0" w:color="auto"/>
                                                        <w:left w:val="none" w:sz="0" w:space="0" w:color="auto"/>
                                                        <w:bottom w:val="none" w:sz="0" w:space="0" w:color="auto"/>
                                                        <w:right w:val="none" w:sz="0" w:space="0" w:color="auto"/>
                                                      </w:divBdr>
                                                    </w:div>
                                                  </w:divsChild>
                                                </w:div>
                                                <w:div w:id="59253552">
                                                  <w:marLeft w:val="0"/>
                                                  <w:marRight w:val="0"/>
                                                  <w:marTop w:val="0"/>
                                                  <w:marBottom w:val="0"/>
                                                  <w:divBdr>
                                                    <w:top w:val="none" w:sz="0" w:space="0" w:color="auto"/>
                                                    <w:left w:val="none" w:sz="0" w:space="0" w:color="auto"/>
                                                    <w:bottom w:val="none" w:sz="0" w:space="0" w:color="auto"/>
                                                    <w:right w:val="none" w:sz="0" w:space="0" w:color="auto"/>
                                                  </w:divBdr>
                                                  <w:divsChild>
                                                    <w:div w:id="1481113910">
                                                      <w:marLeft w:val="0"/>
                                                      <w:marRight w:val="0"/>
                                                      <w:marTop w:val="0"/>
                                                      <w:marBottom w:val="0"/>
                                                      <w:divBdr>
                                                        <w:top w:val="none" w:sz="0" w:space="0" w:color="auto"/>
                                                        <w:left w:val="none" w:sz="0" w:space="0" w:color="auto"/>
                                                        <w:bottom w:val="none" w:sz="0" w:space="0" w:color="auto"/>
                                                        <w:right w:val="none" w:sz="0" w:space="0" w:color="auto"/>
                                                      </w:divBdr>
                                                    </w:div>
                                                  </w:divsChild>
                                                </w:div>
                                                <w:div w:id="1066801129">
                                                  <w:marLeft w:val="0"/>
                                                  <w:marRight w:val="0"/>
                                                  <w:marTop w:val="0"/>
                                                  <w:marBottom w:val="0"/>
                                                  <w:divBdr>
                                                    <w:top w:val="none" w:sz="0" w:space="0" w:color="auto"/>
                                                    <w:left w:val="none" w:sz="0" w:space="0" w:color="auto"/>
                                                    <w:bottom w:val="none" w:sz="0" w:space="0" w:color="auto"/>
                                                    <w:right w:val="none" w:sz="0" w:space="0" w:color="auto"/>
                                                  </w:divBdr>
                                                  <w:divsChild>
                                                    <w:div w:id="1433436000">
                                                      <w:marLeft w:val="0"/>
                                                      <w:marRight w:val="0"/>
                                                      <w:marTop w:val="0"/>
                                                      <w:marBottom w:val="0"/>
                                                      <w:divBdr>
                                                        <w:top w:val="none" w:sz="0" w:space="0" w:color="auto"/>
                                                        <w:left w:val="none" w:sz="0" w:space="0" w:color="auto"/>
                                                        <w:bottom w:val="none" w:sz="0" w:space="0" w:color="auto"/>
                                                        <w:right w:val="none" w:sz="0" w:space="0" w:color="auto"/>
                                                      </w:divBdr>
                                                    </w:div>
                                                  </w:divsChild>
                                                </w:div>
                                                <w:div w:id="129783792">
                                                  <w:marLeft w:val="0"/>
                                                  <w:marRight w:val="0"/>
                                                  <w:marTop w:val="0"/>
                                                  <w:marBottom w:val="0"/>
                                                  <w:divBdr>
                                                    <w:top w:val="none" w:sz="0" w:space="0" w:color="auto"/>
                                                    <w:left w:val="none" w:sz="0" w:space="0" w:color="auto"/>
                                                    <w:bottom w:val="none" w:sz="0" w:space="0" w:color="auto"/>
                                                    <w:right w:val="none" w:sz="0" w:space="0" w:color="auto"/>
                                                  </w:divBdr>
                                                  <w:divsChild>
                                                    <w:div w:id="972834307">
                                                      <w:marLeft w:val="0"/>
                                                      <w:marRight w:val="0"/>
                                                      <w:marTop w:val="0"/>
                                                      <w:marBottom w:val="0"/>
                                                      <w:divBdr>
                                                        <w:top w:val="none" w:sz="0" w:space="0" w:color="auto"/>
                                                        <w:left w:val="none" w:sz="0" w:space="0" w:color="auto"/>
                                                        <w:bottom w:val="none" w:sz="0" w:space="0" w:color="auto"/>
                                                        <w:right w:val="none" w:sz="0" w:space="0" w:color="auto"/>
                                                      </w:divBdr>
                                                    </w:div>
                                                  </w:divsChild>
                                                </w:div>
                                                <w:div w:id="254021042">
                                                  <w:marLeft w:val="0"/>
                                                  <w:marRight w:val="0"/>
                                                  <w:marTop w:val="0"/>
                                                  <w:marBottom w:val="0"/>
                                                  <w:divBdr>
                                                    <w:top w:val="none" w:sz="0" w:space="0" w:color="auto"/>
                                                    <w:left w:val="none" w:sz="0" w:space="0" w:color="auto"/>
                                                    <w:bottom w:val="none" w:sz="0" w:space="0" w:color="auto"/>
                                                    <w:right w:val="none" w:sz="0" w:space="0" w:color="auto"/>
                                                  </w:divBdr>
                                                  <w:divsChild>
                                                    <w:div w:id="604113884">
                                                      <w:marLeft w:val="0"/>
                                                      <w:marRight w:val="0"/>
                                                      <w:marTop w:val="0"/>
                                                      <w:marBottom w:val="0"/>
                                                      <w:divBdr>
                                                        <w:top w:val="none" w:sz="0" w:space="0" w:color="auto"/>
                                                        <w:left w:val="none" w:sz="0" w:space="0" w:color="auto"/>
                                                        <w:bottom w:val="none" w:sz="0" w:space="0" w:color="auto"/>
                                                        <w:right w:val="none" w:sz="0" w:space="0" w:color="auto"/>
                                                      </w:divBdr>
                                                    </w:div>
                                                  </w:divsChild>
                                                </w:div>
                                                <w:div w:id="335039472">
                                                  <w:marLeft w:val="0"/>
                                                  <w:marRight w:val="0"/>
                                                  <w:marTop w:val="0"/>
                                                  <w:marBottom w:val="0"/>
                                                  <w:divBdr>
                                                    <w:top w:val="none" w:sz="0" w:space="0" w:color="auto"/>
                                                    <w:left w:val="none" w:sz="0" w:space="0" w:color="auto"/>
                                                    <w:bottom w:val="none" w:sz="0" w:space="0" w:color="auto"/>
                                                    <w:right w:val="none" w:sz="0" w:space="0" w:color="auto"/>
                                                  </w:divBdr>
                                                  <w:divsChild>
                                                    <w:div w:id="1135758722">
                                                      <w:marLeft w:val="0"/>
                                                      <w:marRight w:val="0"/>
                                                      <w:marTop w:val="0"/>
                                                      <w:marBottom w:val="0"/>
                                                      <w:divBdr>
                                                        <w:top w:val="none" w:sz="0" w:space="0" w:color="auto"/>
                                                        <w:left w:val="none" w:sz="0" w:space="0" w:color="auto"/>
                                                        <w:bottom w:val="none" w:sz="0" w:space="0" w:color="auto"/>
                                                        <w:right w:val="none" w:sz="0" w:space="0" w:color="auto"/>
                                                      </w:divBdr>
                                                    </w:div>
                                                  </w:divsChild>
                                                </w:div>
                                                <w:div w:id="195702458">
                                                  <w:marLeft w:val="0"/>
                                                  <w:marRight w:val="0"/>
                                                  <w:marTop w:val="0"/>
                                                  <w:marBottom w:val="0"/>
                                                  <w:divBdr>
                                                    <w:top w:val="none" w:sz="0" w:space="0" w:color="auto"/>
                                                    <w:left w:val="none" w:sz="0" w:space="0" w:color="auto"/>
                                                    <w:bottom w:val="none" w:sz="0" w:space="0" w:color="auto"/>
                                                    <w:right w:val="none" w:sz="0" w:space="0" w:color="auto"/>
                                                  </w:divBdr>
                                                  <w:divsChild>
                                                    <w:div w:id="1655136443">
                                                      <w:marLeft w:val="0"/>
                                                      <w:marRight w:val="0"/>
                                                      <w:marTop w:val="0"/>
                                                      <w:marBottom w:val="0"/>
                                                      <w:divBdr>
                                                        <w:top w:val="none" w:sz="0" w:space="0" w:color="auto"/>
                                                        <w:left w:val="none" w:sz="0" w:space="0" w:color="auto"/>
                                                        <w:bottom w:val="none" w:sz="0" w:space="0" w:color="auto"/>
                                                        <w:right w:val="none" w:sz="0" w:space="0" w:color="auto"/>
                                                      </w:divBdr>
                                                    </w:div>
                                                  </w:divsChild>
                                                </w:div>
                                                <w:div w:id="299961957">
                                                  <w:marLeft w:val="0"/>
                                                  <w:marRight w:val="0"/>
                                                  <w:marTop w:val="0"/>
                                                  <w:marBottom w:val="0"/>
                                                  <w:divBdr>
                                                    <w:top w:val="none" w:sz="0" w:space="0" w:color="auto"/>
                                                    <w:left w:val="none" w:sz="0" w:space="0" w:color="auto"/>
                                                    <w:bottom w:val="none" w:sz="0" w:space="0" w:color="auto"/>
                                                    <w:right w:val="none" w:sz="0" w:space="0" w:color="auto"/>
                                                  </w:divBdr>
                                                  <w:divsChild>
                                                    <w:div w:id="19537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29259">
                                          <w:marLeft w:val="0"/>
                                          <w:marRight w:val="0"/>
                                          <w:marTop w:val="0"/>
                                          <w:marBottom w:val="0"/>
                                          <w:divBdr>
                                            <w:top w:val="none" w:sz="0" w:space="0" w:color="auto"/>
                                            <w:left w:val="none" w:sz="0" w:space="0" w:color="auto"/>
                                            <w:bottom w:val="none" w:sz="0" w:space="0" w:color="auto"/>
                                            <w:right w:val="none" w:sz="0" w:space="0" w:color="auto"/>
                                          </w:divBdr>
                                          <w:divsChild>
                                            <w:div w:id="566376344">
                                              <w:marLeft w:val="0"/>
                                              <w:marRight w:val="0"/>
                                              <w:marTop w:val="0"/>
                                              <w:marBottom w:val="0"/>
                                              <w:divBdr>
                                                <w:top w:val="none" w:sz="0" w:space="0" w:color="auto"/>
                                                <w:left w:val="none" w:sz="0" w:space="0" w:color="auto"/>
                                                <w:bottom w:val="none" w:sz="0" w:space="0" w:color="auto"/>
                                                <w:right w:val="none" w:sz="0" w:space="0" w:color="auto"/>
                                              </w:divBdr>
                                            </w:div>
                                          </w:divsChild>
                                        </w:div>
                                        <w:div w:id="1693846396">
                                          <w:marLeft w:val="0"/>
                                          <w:marRight w:val="0"/>
                                          <w:marTop w:val="0"/>
                                          <w:marBottom w:val="0"/>
                                          <w:divBdr>
                                            <w:top w:val="none" w:sz="0" w:space="0" w:color="auto"/>
                                            <w:left w:val="none" w:sz="0" w:space="0" w:color="auto"/>
                                            <w:bottom w:val="none" w:sz="0" w:space="0" w:color="auto"/>
                                            <w:right w:val="none" w:sz="0" w:space="0" w:color="auto"/>
                                          </w:divBdr>
                                          <w:divsChild>
                                            <w:div w:id="419912986">
                                              <w:marLeft w:val="0"/>
                                              <w:marRight w:val="0"/>
                                              <w:marTop w:val="0"/>
                                              <w:marBottom w:val="0"/>
                                              <w:divBdr>
                                                <w:top w:val="none" w:sz="0" w:space="0" w:color="auto"/>
                                                <w:left w:val="none" w:sz="0" w:space="0" w:color="auto"/>
                                                <w:bottom w:val="none" w:sz="0" w:space="0" w:color="auto"/>
                                                <w:right w:val="none" w:sz="0" w:space="0" w:color="auto"/>
                                              </w:divBdr>
                                            </w:div>
                                          </w:divsChild>
                                        </w:div>
                                        <w:div w:id="251014804">
                                          <w:marLeft w:val="0"/>
                                          <w:marRight w:val="0"/>
                                          <w:marTop w:val="0"/>
                                          <w:marBottom w:val="0"/>
                                          <w:divBdr>
                                            <w:top w:val="none" w:sz="0" w:space="0" w:color="auto"/>
                                            <w:left w:val="none" w:sz="0" w:space="0" w:color="auto"/>
                                            <w:bottom w:val="none" w:sz="0" w:space="0" w:color="auto"/>
                                            <w:right w:val="none" w:sz="0" w:space="0" w:color="auto"/>
                                          </w:divBdr>
                                          <w:divsChild>
                                            <w:div w:id="625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onsult.moretonbay.qld.gov.au/portal/mbrcpsv3?pointId=s1414726072426" TargetMode="External"/><Relationship Id="rId7" Type="http://schemas.openxmlformats.org/officeDocument/2006/relationships/endnotes" Target="endnote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414726072426"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retonbay.qld.gov.au/floodcheck/" TargetMode="External"/><Relationship Id="rId20" Type="http://schemas.openxmlformats.org/officeDocument/2006/relationships/hyperlink" Target="http://consult.moretonbay.qld.gov.au/portal/mbrcpsv3?pointId=s141472607242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w.qld.gov.au/SiteCollectionDocuments/WaterResilientProductsAndBuildingTechniquesForRebuildingAfterAFlood.pdf"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414726072426"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A758-E5F0-4B43-B094-F1FA0240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5235</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2024-10-31T06:10:00Z</dcterms:created>
  <dcterms:modified xsi:type="dcterms:W3CDTF">2024-10-31T23:55:00Z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A19422617</vt:lpwstr>
  </property>
  <property fmtid="{D5CDD505-2E9C-101B-9397-08002B2CF9AE}" pid="4" name="Objective-Title">
    <vt:lpwstr>8.2.1 Coastal Hazard Overlay Code - Assessable UPDATED</vt:lpwstr>
  </property>
  <property fmtid="{D5CDD505-2E9C-101B-9397-08002B2CF9AE}" pid="5" name="Objective-Comment">
    <vt:lpwstr/>
  </property>
  <property fmtid="{D5CDD505-2E9C-101B-9397-08002B2CF9AE}" pid="6" name="Objective-CreationStamp">
    <vt:filetime>2019-12-03T00:46:36Z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2020-01-06T06:03:28Z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