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367"/>
      </w:tblGrid>
      <w:tr w:rsidR="00A87D91" w:rsidRPr="00A87D91" w14:paraId="55585CDF" w14:textId="77777777" w:rsidTr="00A87D91">
        <w:trPr>
          <w:tblCellSpacing w:w="15" w:type="dxa"/>
        </w:trPr>
        <w:tc>
          <w:tcPr>
            <w:tcW w:w="0" w:type="auto"/>
            <w:tcBorders>
              <w:top w:val="nil"/>
              <w:left w:val="nil"/>
              <w:bottom w:val="nil"/>
              <w:right w:val="nil"/>
            </w:tcBorders>
            <w:shd w:val="clear" w:color="auto" w:fill="CCCCCC"/>
            <w:vAlign w:val="center"/>
            <w:hideMark/>
          </w:tcPr>
          <w:p w14:paraId="29F92049" w14:textId="77777777"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8.2.2.2 Assessable development - Flood hazard overlay</w:t>
            </w:r>
          </w:p>
        </w:tc>
      </w:tr>
    </w:tbl>
    <w:p w14:paraId="39EFB460" w14:textId="77777777" w:rsidR="00A87D91" w:rsidRDefault="00A87D91"/>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845"/>
        <w:gridCol w:w="206"/>
        <w:gridCol w:w="121"/>
        <w:gridCol w:w="4732"/>
        <w:gridCol w:w="448"/>
        <w:gridCol w:w="108"/>
        <w:gridCol w:w="1066"/>
        <w:gridCol w:w="756"/>
        <w:gridCol w:w="75"/>
        <w:gridCol w:w="3025"/>
      </w:tblGrid>
      <w:tr w:rsidR="00CF6DD4" w:rsidRPr="00A87D91" w14:paraId="75D91E05" w14:textId="77777777"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BE786CA" w14:textId="77777777"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Performance outcomes</w:t>
            </w: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C2ACAE6" w14:textId="77777777" w:rsidR="00603636" w:rsidRPr="002C249B" w:rsidRDefault="002C249B" w:rsidP="002C249B">
            <w:pPr>
              <w:spacing w:before="100" w:beforeAutospacing="1" w:after="100" w:afterAutospacing="1" w:line="240" w:lineRule="auto"/>
              <w:rPr>
                <w:rFonts w:ascii="Arial" w:eastAsia="Times New Roman" w:hAnsi="Arial" w:cs="Arial"/>
                <w:b/>
                <w:bCs/>
                <w:sz w:val="20"/>
                <w:szCs w:val="20"/>
                <w:lang w:eastAsia="en-AU"/>
              </w:rPr>
            </w:pPr>
            <w:r w:rsidRPr="002C249B">
              <w:rPr>
                <w:rFonts w:ascii="Arial" w:eastAsia="Times New Roman" w:hAnsi="Arial" w:cs="Arial"/>
                <w:b/>
                <w:bCs/>
                <w:sz w:val="20"/>
                <w:szCs w:val="20"/>
                <w:lang w:eastAsia="en-AU"/>
              </w:rPr>
              <w:t>Examples that achieve aspects of the Performance</w:t>
            </w:r>
            <w:r>
              <w:rPr>
                <w:rFonts w:ascii="Arial" w:eastAsia="Times New Roman" w:hAnsi="Arial" w:cs="Arial"/>
                <w:b/>
                <w:bCs/>
                <w:sz w:val="20"/>
                <w:szCs w:val="20"/>
                <w:lang w:eastAsia="en-AU"/>
              </w:rPr>
              <w:t xml:space="preserve"> </w:t>
            </w:r>
            <w:r w:rsidRPr="002C249B">
              <w:rPr>
                <w:rFonts w:ascii="Arial" w:eastAsia="Times New Roman" w:hAnsi="Arial" w:cs="Arial"/>
                <w:b/>
                <w:bCs/>
                <w:sz w:val="20"/>
                <w:szCs w:val="20"/>
                <w:lang w:eastAsia="en-AU"/>
              </w:rPr>
              <w:t>Outcomes</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14:paraId="50B6B963" w14:textId="77777777" w:rsidR="00603636" w:rsidRPr="00074EF6" w:rsidRDefault="000970E8" w:rsidP="00603636">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00603636" w:rsidRPr="00074EF6">
              <w:rPr>
                <w:rFonts w:ascii="Arial" w:eastAsia="Times New Roman" w:hAnsi="Arial" w:cs="Arial"/>
                <w:b/>
                <w:bCs/>
                <w:sz w:val="20"/>
                <w:szCs w:val="20"/>
                <w:lang w:eastAsia="en-AU"/>
              </w:rPr>
              <w:t xml:space="preserve"> Compliance</w:t>
            </w:r>
          </w:p>
          <w:p w14:paraId="0CF2F105" w14:textId="77777777"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Yes</w:t>
            </w:r>
          </w:p>
          <w:p w14:paraId="5F150F6D" w14:textId="77777777"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No See PO or</w:t>
            </w:r>
          </w:p>
          <w:p w14:paraId="45FDB4CB" w14:textId="77777777" w:rsidR="00603636" w:rsidRPr="00C11478" w:rsidRDefault="00603636" w:rsidP="00603636">
            <w:pPr>
              <w:pStyle w:val="ListParagraph"/>
              <w:numPr>
                <w:ilvl w:val="0"/>
                <w:numId w:val="27"/>
              </w:numPr>
              <w:spacing w:after="0" w:line="240" w:lineRule="auto"/>
              <w:ind w:left="373" w:hanging="284"/>
              <w:rPr>
                <w:rFonts w:eastAsia="Times New Roman" w:cs="Arial"/>
                <w:b/>
                <w:bCs/>
                <w:sz w:val="20"/>
                <w:szCs w:val="20"/>
                <w:lang w:eastAsia="en-AU"/>
              </w:rPr>
            </w:pPr>
            <w:r w:rsidRPr="00603636">
              <w:rPr>
                <w:rFonts w:eastAsia="Times New Roman" w:cs="Arial"/>
                <w:b/>
                <w:bCs/>
                <w:sz w:val="18"/>
                <w:szCs w:val="18"/>
                <w:lang w:eastAsia="en-AU"/>
              </w:rPr>
              <w:t>NA</w:t>
            </w:r>
          </w:p>
        </w:tc>
        <w:tc>
          <w:tcPr>
            <w:tcW w:w="967" w:type="pct"/>
            <w:tcBorders>
              <w:top w:val="outset" w:sz="6" w:space="0" w:color="auto"/>
              <w:left w:val="outset" w:sz="6" w:space="0" w:color="auto"/>
              <w:bottom w:val="outset" w:sz="6" w:space="0" w:color="auto"/>
              <w:right w:val="outset" w:sz="6" w:space="0" w:color="auto"/>
            </w:tcBorders>
            <w:shd w:val="clear" w:color="auto" w:fill="CCCCCC"/>
          </w:tcPr>
          <w:p w14:paraId="310DB4AD" w14:textId="77777777" w:rsidR="00603636" w:rsidRPr="00074EF6" w:rsidRDefault="00603636" w:rsidP="00603636">
            <w:pPr>
              <w:spacing w:after="0" w:line="240" w:lineRule="auto"/>
              <w:jc w:val="center"/>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Justification for compliance</w:t>
            </w:r>
          </w:p>
        </w:tc>
      </w:tr>
      <w:tr w:rsidR="00BB3E2F" w:rsidRPr="00A87D91" w14:paraId="72E534EA" w14:textId="77777777"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2561A97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Material change of use or building work for a dwelling house</w:t>
            </w:r>
            <w:r w:rsidRPr="00A87D91">
              <w:rPr>
                <w:rFonts w:ascii="Arial" w:eastAsia="Times New Roman" w:hAnsi="Arial" w:cs="Arial"/>
                <w:sz w:val="20"/>
                <w:szCs w:val="20"/>
                <w:lang w:eastAsia="en-AU"/>
              </w:rPr>
              <w:t xml:space="preserve"> </w:t>
            </w:r>
            <w:r w:rsidRPr="00A87D91">
              <w:rPr>
                <w:rFonts w:ascii="Arial" w:eastAsia="Times New Roman" w:hAnsi="Arial" w:cs="Arial"/>
                <w:sz w:val="20"/>
                <w:szCs w:val="20"/>
                <w:vertAlign w:val="superscript"/>
                <w:lang w:eastAsia="en-AU"/>
              </w:rPr>
              <w:t>(</w:t>
            </w:r>
            <w:hyperlink r:id="rId7"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14:paraId="2EAF199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14:paraId="0E767EA5"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4630D6FC" w14:textId="77777777" w:rsidTr="002C249B">
        <w:trPr>
          <w:trHeight w:val="228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5E2BDEF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w:t>
            </w:r>
          </w:p>
          <w:p w14:paraId="541530D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the High risk flood hazard area included in the Limited development zone for:</w:t>
            </w:r>
          </w:p>
          <w:p w14:paraId="4BFFD87C" w14:textId="77777777"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material change of use and associated building work for a Dwelling house</w:t>
            </w:r>
            <w:r w:rsidRPr="00A87D91">
              <w:rPr>
                <w:rFonts w:ascii="Arial" w:eastAsia="Times New Roman" w:hAnsi="Arial" w:cs="Arial"/>
                <w:sz w:val="20"/>
                <w:szCs w:val="20"/>
                <w:vertAlign w:val="superscript"/>
                <w:lang w:eastAsia="en-AU"/>
              </w:rPr>
              <w:t>(</w:t>
            </w:r>
            <w:hyperlink r:id="rId8"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does not occur; </w:t>
            </w:r>
          </w:p>
          <w:p w14:paraId="3120FD37" w14:textId="77777777"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building work not associated with a material change of use for a Dwelling house</w:t>
            </w:r>
            <w:r w:rsidRPr="00A87D91">
              <w:rPr>
                <w:rFonts w:ascii="Arial" w:eastAsia="Times New Roman" w:hAnsi="Arial" w:cs="Arial"/>
                <w:sz w:val="20"/>
                <w:szCs w:val="20"/>
                <w:vertAlign w:val="superscript"/>
                <w:lang w:eastAsia="en-AU"/>
              </w:rPr>
              <w:t>(</w:t>
            </w:r>
            <w:hyperlink r:id="rId9"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only occurs for an existing lawful use. </w:t>
            </w:r>
          </w:p>
        </w:tc>
        <w:tc>
          <w:tcPr>
            <w:tcW w:w="1710" w:type="pct"/>
            <w:gridSpan w:val="3"/>
            <w:tcBorders>
              <w:top w:val="outset" w:sz="6" w:space="0" w:color="auto"/>
              <w:left w:val="outset" w:sz="6" w:space="0" w:color="auto"/>
              <w:bottom w:val="outset" w:sz="6" w:space="0" w:color="auto"/>
              <w:right w:val="outset" w:sz="6" w:space="0" w:color="auto"/>
            </w:tcBorders>
            <w:hideMark/>
          </w:tcPr>
          <w:p w14:paraId="599EFD9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14:paraId="4373AF8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4821727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14:paraId="0CBCC447" w14:textId="77777777" w:rsidTr="008E6513">
        <w:trPr>
          <w:trHeight w:val="1928"/>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14:paraId="5AB44B4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w:t>
            </w:r>
          </w:p>
          <w:p w14:paraId="51B8B27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flood events by ensuring design and built form account for the potential risks of flooding.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14:paraId="349A00F1" w14:textId="77777777" w:rsidTr="00357954">
              <w:trPr>
                <w:tblCellSpacing w:w="15" w:type="dxa"/>
              </w:trPr>
              <w:tc>
                <w:tcPr>
                  <w:tcW w:w="4530" w:type="dxa"/>
                  <w:vAlign w:val="center"/>
                  <w:hideMark/>
                </w:tcPr>
                <w:p w14:paraId="35A2761D" w14:textId="77777777" w:rsidR="00603636" w:rsidRPr="008E6513" w:rsidRDefault="00603636" w:rsidP="00A87D91">
                  <w:pPr>
                    <w:spacing w:before="100" w:beforeAutospacing="1" w:after="100" w:afterAutospacing="1" w:line="240" w:lineRule="auto"/>
                    <w:rPr>
                      <w:rFonts w:ascii="Arial" w:eastAsia="Times New Roman" w:hAnsi="Arial" w:cs="Arial"/>
                      <w:sz w:val="18"/>
                      <w:szCs w:val="18"/>
                      <w:lang w:eastAsia="en-AU"/>
                    </w:rPr>
                  </w:pPr>
                  <w:r w:rsidRPr="008E6513">
                    <w:rPr>
                      <w:rFonts w:ascii="Arial" w:eastAsia="Times New Roman" w:hAnsi="Arial" w:cs="Arial"/>
                      <w:sz w:val="18"/>
                      <w:szCs w:val="18"/>
                      <w:lang w:eastAsia="en-AU"/>
                    </w:rPr>
                    <w:t xml:space="preserve">Note - New buildings within the Medium risk area </w:t>
                  </w:r>
                  <w:r w:rsidR="00DE735D" w:rsidRPr="008E6513">
                    <w:rPr>
                      <w:rFonts w:ascii="Arial" w:eastAsia="Times New Roman" w:hAnsi="Arial" w:cs="Arial"/>
                      <w:sz w:val="18"/>
                      <w:szCs w:val="18"/>
                      <w:lang w:eastAsia="en-AU"/>
                    </w:rPr>
                    <w:t xml:space="preserve">where the estimated maximum flow velocity exceeds 1.5m/s, and those within the High risk area </w:t>
                  </w:r>
                  <w:r w:rsidRPr="008E6513">
                    <w:rPr>
                      <w:rFonts w:ascii="Arial" w:eastAsia="Times New Roman" w:hAnsi="Arial" w:cs="Arial"/>
                      <w:sz w:val="18"/>
                      <w:szCs w:val="18"/>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18"/>
                      <w:lang w:eastAsia="en-AU"/>
                    </w:rPr>
                    <w:t xml:space="preserve"> C</w:t>
                  </w:r>
                  <w:r w:rsidRPr="008E6513">
                    <w:rPr>
                      <w:rFonts w:ascii="Arial" w:eastAsia="Times New Roman" w:hAnsi="Arial" w:cs="Arial"/>
                      <w:sz w:val="18"/>
                      <w:szCs w:val="18"/>
                      <w:lang w:eastAsia="en-AU"/>
                    </w:rPr>
                    <w:t xml:space="preserve">heck </w:t>
                  </w:r>
                  <w:r w:rsidR="00DE735D" w:rsidRPr="008E6513">
                    <w:rPr>
                      <w:rFonts w:ascii="Arial" w:eastAsia="Times New Roman" w:hAnsi="Arial" w:cs="Arial"/>
                      <w:sz w:val="18"/>
                      <w:szCs w:val="18"/>
                      <w:lang w:eastAsia="en-AU"/>
                    </w:rPr>
                    <w:t>Development Report</w:t>
                  </w:r>
                  <w:r w:rsidRPr="008E6513">
                    <w:rPr>
                      <w:rFonts w:ascii="Arial" w:eastAsia="Times New Roman" w:hAnsi="Arial" w:cs="Arial"/>
                      <w:sz w:val="18"/>
                      <w:szCs w:val="18"/>
                      <w:lang w:eastAsia="en-AU"/>
                    </w:rPr>
                    <w:t xml:space="preserve"> via </w:t>
                  </w:r>
                  <w:hyperlink r:id="rId10" w:tgtFrame="_blank" w:tooltip="https://www.moretonbay.qld.gov.au/floodcheck/" w:history="1">
                    <w:r w:rsidRPr="008E6513">
                      <w:rPr>
                        <w:rFonts w:ascii="Arial" w:eastAsia="Times New Roman" w:hAnsi="Arial" w:cs="Arial"/>
                        <w:sz w:val="18"/>
                        <w:szCs w:val="18"/>
                        <w:u w:val="single"/>
                        <w:lang w:eastAsia="en-AU"/>
                      </w:rPr>
                      <w:t>https://www.moretonbay.qld.gov.au/floodcheck/</w:t>
                    </w:r>
                  </w:hyperlink>
                  <w:r w:rsidRPr="008E6513">
                    <w:rPr>
                      <w:rFonts w:ascii="Arial" w:eastAsia="Times New Roman" w:hAnsi="Arial" w:cs="Arial"/>
                      <w:sz w:val="18"/>
                      <w:szCs w:val="18"/>
                      <w:lang w:eastAsia="en-AU"/>
                    </w:rPr>
                    <w:t xml:space="preserve">. </w:t>
                  </w:r>
                </w:p>
              </w:tc>
            </w:tr>
            <w:tr w:rsidR="00603636" w:rsidRPr="00A87D91" w14:paraId="11B203B5" w14:textId="77777777" w:rsidTr="00357954">
              <w:trPr>
                <w:tblCellSpacing w:w="15" w:type="dxa"/>
              </w:trPr>
              <w:tc>
                <w:tcPr>
                  <w:tcW w:w="4530" w:type="dxa"/>
                  <w:vAlign w:val="center"/>
                  <w:hideMark/>
                </w:tcPr>
                <w:p w14:paraId="1322DF31" w14:textId="77777777" w:rsidR="00DE735D" w:rsidRDefault="00DE735D" w:rsidP="00A87D91">
                  <w:pPr>
                    <w:spacing w:before="100" w:beforeAutospacing="1" w:after="100" w:afterAutospacing="1" w:line="240" w:lineRule="auto"/>
                    <w:rPr>
                      <w:rFonts w:ascii="Arial" w:eastAsia="Times New Roman" w:hAnsi="Arial" w:cs="Arial"/>
                      <w:sz w:val="20"/>
                      <w:szCs w:val="20"/>
                      <w:lang w:eastAsia="en-AU"/>
                    </w:rPr>
                  </w:pPr>
                </w:p>
                <w:p w14:paraId="3BD912C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14:paraId="7544FF0F"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72F9C726"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2.1</w:t>
            </w:r>
          </w:p>
          <w:p w14:paraId="735A01C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14:paraId="37620665" w14:textId="77777777" w:rsidTr="00357954">
              <w:trPr>
                <w:tblCellSpacing w:w="15" w:type="dxa"/>
              </w:trPr>
              <w:tc>
                <w:tcPr>
                  <w:tcW w:w="6042" w:type="dxa"/>
                  <w:vAlign w:val="center"/>
                  <w:hideMark/>
                </w:tcPr>
                <w:p w14:paraId="5F03FF3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highset 'Queenslander' style house is a resilient low-density housing solution.  Higher density residential development should also ensure only non-habitable rooms (e.g. garages) are located on the ground floor. </w:t>
                  </w:r>
                </w:p>
              </w:tc>
            </w:tr>
            <w:tr w:rsidR="00603636" w:rsidRPr="008E6513" w14:paraId="6CA03D0A" w14:textId="77777777" w:rsidTr="00357954">
              <w:trPr>
                <w:tblCellSpacing w:w="15" w:type="dxa"/>
              </w:trPr>
              <w:tc>
                <w:tcPr>
                  <w:tcW w:w="6042" w:type="dxa"/>
                  <w:vAlign w:val="center"/>
                  <w:hideMark/>
                </w:tcPr>
                <w:p w14:paraId="469C1361"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DE735D"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w:t>
                  </w:r>
                  <w:r w:rsidRPr="008E6513">
                    <w:rPr>
                      <w:rFonts w:ascii="Arial" w:eastAsia="Times New Roman" w:hAnsi="Arial" w:cs="Arial"/>
                      <w:sz w:val="18"/>
                      <w:szCs w:val="20"/>
                      <w:lang w:eastAsia="en-AU"/>
                    </w:rPr>
                    <w:lastRenderedPageBreak/>
                    <w:t>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DE735D"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bl>
          <w:p w14:paraId="5A528970" w14:textId="77777777" w:rsidR="00603636" w:rsidRPr="008E6513" w:rsidRDefault="00603636" w:rsidP="00A87D91">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8E6513" w14:paraId="782C72D1" w14:textId="77777777" w:rsidTr="00357954">
              <w:trPr>
                <w:tblCellSpacing w:w="15" w:type="dxa"/>
              </w:trPr>
              <w:tc>
                <w:tcPr>
                  <w:tcW w:w="6042" w:type="dxa"/>
                  <w:vAlign w:val="center"/>
                  <w:hideMark/>
                </w:tcPr>
                <w:p w14:paraId="2B6F819A" w14:textId="77777777" w:rsidR="00DE735D" w:rsidRPr="008E6513" w:rsidRDefault="00DE735D" w:rsidP="00A87D91">
                  <w:pPr>
                    <w:spacing w:after="0" w:line="240" w:lineRule="auto"/>
                    <w:rPr>
                      <w:rFonts w:ascii="Arial" w:eastAsia="Times New Roman" w:hAnsi="Arial" w:cs="Arial"/>
                      <w:sz w:val="18"/>
                      <w:szCs w:val="20"/>
                      <w:lang w:eastAsia="en-AU"/>
                    </w:rPr>
                  </w:pPr>
                </w:p>
                <w:p w14:paraId="6FCBCAB5"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14:paraId="5C3DBFE0"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47F6C945"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61942E3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0A24CFBD" w14:textId="77777777"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40C28D4B"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02B34440"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2.2</w:t>
            </w:r>
          </w:p>
          <w:p w14:paraId="324E021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1"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2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603636" w:rsidRPr="00A87D91" w14:paraId="7B4792FE" w14:textId="77777777" w:rsidTr="008E6513">
              <w:trPr>
                <w:tblCellSpacing w:w="15" w:type="dxa"/>
              </w:trPr>
              <w:tc>
                <w:tcPr>
                  <w:tcW w:w="5035" w:type="dxa"/>
                  <w:vAlign w:val="center"/>
                  <w:hideMark/>
                </w:tcPr>
                <w:p w14:paraId="75B3516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r w:rsidR="008E6513" w:rsidRPr="008E6513">
                    <w:rPr>
                      <w:rFonts w:ascii="Arial" w:eastAsia="Times New Roman" w:hAnsi="Arial" w:cs="Arial"/>
                      <w:sz w:val="18"/>
                      <w:szCs w:val="20"/>
                      <w:u w:val="single"/>
                      <w:lang w:eastAsia="en-AU"/>
                    </w:rPr>
                    <w:t>http://www.hpw.qld.gov.au/SiteCollectionDocuments/WaterResilientProductsAndBuildingTechniquesForRebuildingAfterAFlood.pdf</w:t>
                  </w:r>
                </w:p>
              </w:tc>
            </w:tr>
          </w:tbl>
          <w:p w14:paraId="03DF16BC"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2077D28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2FD49A0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09DA7959"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4142420D" w14:textId="77777777"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25ECD600" w14:textId="77777777"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 the High risk area or Medium risk area</w:t>
            </w:r>
          </w:p>
        </w:tc>
      </w:tr>
      <w:tr w:rsidR="00CF6DD4" w:rsidRPr="00A87D91" w14:paraId="46400D61" w14:textId="77777777"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1D6DF96A"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1F06262F"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2.3</w:t>
            </w:r>
          </w:p>
          <w:p w14:paraId="49F3A84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14:paraId="238B5F0C"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34CA0C2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2CF63E55" w14:textId="77777777"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224E0F5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PO3</w:t>
            </w:r>
          </w:p>
          <w:p w14:paraId="27AF52E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a functional and attractive relationship with the adjacent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14:paraId="6B722585" w14:textId="77777777" w:rsidTr="00357954">
              <w:trPr>
                <w:tblCellSpacing w:w="15" w:type="dxa"/>
              </w:trPr>
              <w:tc>
                <w:tcPr>
                  <w:tcW w:w="4530" w:type="dxa"/>
                  <w:vAlign w:val="center"/>
                  <w:hideMark/>
                </w:tcPr>
                <w:p w14:paraId="0C0D0B2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14:paraId="1516424D"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11FA3581"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3</w:t>
            </w:r>
          </w:p>
          <w:p w14:paraId="46E34BD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14:paraId="18E03C03" w14:textId="77777777"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uses screening around the understorey of the dwelling to ensure the understorey is not visible from the street;</w:t>
            </w:r>
          </w:p>
          <w:p w14:paraId="6D6B0392" w14:textId="77777777"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14:paraId="3D74F8F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4B80F2F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338BC006" w14:textId="77777777" w:rsidTr="002C249B">
        <w:trPr>
          <w:trHeight w:val="450"/>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14:paraId="7DC210BA" w14:textId="77777777"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PO4</w:t>
            </w:r>
          </w:p>
          <w:p w14:paraId="1908A536" w14:textId="77777777"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does not increase the potential for erosion, scour or flood damage either on the premises or on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DA5F08" w:rsidRPr="00A87D91" w14:paraId="2D632A7E" w14:textId="77777777" w:rsidTr="00357954">
              <w:trPr>
                <w:tblCellSpacing w:w="15" w:type="dxa"/>
              </w:trPr>
              <w:tc>
                <w:tcPr>
                  <w:tcW w:w="4530" w:type="dxa"/>
                  <w:vAlign w:val="center"/>
                  <w:hideMark/>
                </w:tcPr>
                <w:p w14:paraId="7BB6C2FC" w14:textId="77777777"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14:paraId="506201CF" w14:textId="77777777"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5AEC3A77" w14:textId="77777777"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High risk area or Medium risk area of the Flood planning area</w:t>
            </w:r>
          </w:p>
        </w:tc>
      </w:tr>
      <w:tr w:rsidR="00CF6DD4" w:rsidRPr="00A87D91" w14:paraId="2C8F00D8" w14:textId="77777777" w:rsidTr="002C249B">
        <w:trPr>
          <w:trHeight w:val="10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13526306"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5AADA389"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4.1</w:t>
            </w:r>
          </w:p>
          <w:p w14:paraId="5267AE1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Earthworks do not occur in the High risk area or Medium risk area of the Flood planning area.</w:t>
            </w:r>
          </w:p>
        </w:tc>
        <w:tc>
          <w:tcPr>
            <w:tcW w:w="598" w:type="pct"/>
            <w:gridSpan w:val="3"/>
            <w:tcBorders>
              <w:top w:val="outset" w:sz="6" w:space="0" w:color="auto"/>
              <w:left w:val="outset" w:sz="6" w:space="0" w:color="auto"/>
              <w:bottom w:val="outset" w:sz="6" w:space="0" w:color="auto"/>
              <w:right w:val="outset" w:sz="6" w:space="0" w:color="auto"/>
            </w:tcBorders>
          </w:tcPr>
          <w:p w14:paraId="6E8F653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E2B41FB"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793F1BCE" w14:textId="77777777"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05201CF6" w14:textId="77777777"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3C03CF93" w14:textId="77777777"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Balance flood planning area</w:t>
            </w:r>
          </w:p>
        </w:tc>
      </w:tr>
      <w:tr w:rsidR="00CF6DD4" w:rsidRPr="00A87D91" w14:paraId="036DAFE7" w14:textId="77777777"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051AB323"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6C56FE9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14:paraId="6071952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07429A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DA5F08" w:rsidRPr="00A87D91" w14:paraId="3C8A2089" w14:textId="77777777" w:rsidTr="00DA5F08">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2201DD0E" w14:textId="77777777" w:rsidR="00DA5F08" w:rsidRPr="00A87D91" w:rsidRDefault="00DA5F08"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For material change of use or building work (excluding material change of use or building work for a dwelling house) in the Balance flood planning area</w:t>
            </w:r>
          </w:p>
        </w:tc>
      </w:tr>
      <w:tr w:rsidR="00DA5F08" w:rsidRPr="00A87D91" w14:paraId="7B22494B" w14:textId="77777777"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14:paraId="1A0EF609" w14:textId="77777777"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PO5</w:t>
            </w:r>
          </w:p>
          <w:p w14:paraId="4B01735D" w14:textId="77777777" w:rsidR="00DA5F08"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a flood hazard event by ensuring design and built form account for the potential risks of flooding.</w:t>
            </w:r>
          </w:p>
          <w:p w14:paraId="11B38430" w14:textId="77777777"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14:paraId="2EE2F144" w14:textId="77777777"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14:paraId="534E90A6" w14:textId="77777777"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14:paraId="08100D12" w14:textId="77777777"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14:paraId="6AD21A11" w14:textId="77777777"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14:paraId="193EF6AA" w14:textId="77777777" w:rsidR="00DE735D" w:rsidRPr="00A87D91" w:rsidRDefault="00DE735D" w:rsidP="00CF6DD4">
            <w:pPr>
              <w:spacing w:before="100" w:beforeAutospacing="1" w:after="100" w:afterAutospacing="1"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1F898E3C" w14:textId="77777777"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lastRenderedPageBreak/>
              <w:t>Development involving building work for a residential use</w:t>
            </w:r>
          </w:p>
        </w:tc>
      </w:tr>
      <w:tr w:rsidR="00CF6DD4" w:rsidRPr="00A87D91" w14:paraId="4ED6B3B7"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6D62B69B"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7F045BF4"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5.1</w:t>
            </w:r>
          </w:p>
          <w:p w14:paraId="6548A56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2"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14:paraId="2EFDA9A6"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5462013F"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DA5F08" w:rsidRPr="00A87D91" w14:paraId="1967F2AE"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1DB9478D" w14:textId="77777777"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67FABE6B" w14:textId="77777777"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14:paraId="62A8E073"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43D5AE97"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7797A53A"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5.2</w:t>
            </w:r>
          </w:p>
          <w:p w14:paraId="0FAAA22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w:t>
            </w:r>
            <w:r w:rsidRPr="00A87D91">
              <w:rPr>
                <w:rFonts w:ascii="Arial" w:eastAsia="Times New Roman" w:hAnsi="Arial" w:cs="Arial"/>
                <w:sz w:val="20"/>
                <w:szCs w:val="20"/>
                <w:lang w:eastAsia="en-AU"/>
              </w:rPr>
              <w:lastRenderedPageBreak/>
              <w:t xml:space="preserve">planning level in </w:t>
            </w:r>
            <w:hyperlink r:id="rId13"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14:paraId="201A697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304BAFED"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60A31A98" w14:textId="77777777" w:rsidTr="002C249B">
        <w:trPr>
          <w:trHeight w:val="454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03B7955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PO6</w:t>
            </w:r>
          </w:p>
          <w:p w14:paraId="34E7E95E"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earthworks complies with the requirements of </w:t>
            </w:r>
            <w:hyperlink r:id="rId1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14:paraId="3FF083AE" w14:textId="77777777"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14:paraId="08F87D76" w14:textId="77777777"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14:paraId="3FF1C3C7" w14:textId="77777777"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14:paraId="7AAD6602" w14:textId="77777777" w:rsidTr="00357954">
              <w:trPr>
                <w:tblCellSpacing w:w="15" w:type="dxa"/>
              </w:trPr>
              <w:tc>
                <w:tcPr>
                  <w:tcW w:w="4530" w:type="dxa"/>
                  <w:vAlign w:val="center"/>
                  <w:hideMark/>
                </w:tcPr>
                <w:p w14:paraId="38F06DB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14:paraId="692F4FD6"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5716C15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w:t>
            </w:r>
          </w:p>
        </w:tc>
        <w:tc>
          <w:tcPr>
            <w:tcW w:w="598" w:type="pct"/>
            <w:gridSpan w:val="3"/>
            <w:tcBorders>
              <w:top w:val="outset" w:sz="6" w:space="0" w:color="auto"/>
              <w:left w:val="outset" w:sz="6" w:space="0" w:color="auto"/>
              <w:bottom w:val="outset" w:sz="6" w:space="0" w:color="auto"/>
              <w:right w:val="outset" w:sz="6" w:space="0" w:color="auto"/>
            </w:tcBorders>
          </w:tcPr>
          <w:p w14:paraId="1F044FC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375FE2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14:paraId="6DBC6702" w14:textId="77777777"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14:paraId="6C40148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PO7</w:t>
            </w:r>
          </w:p>
          <w:p w14:paraId="7161758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p w14:paraId="42E6DC9D"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2DAA56C4"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7.1</w:t>
            </w:r>
          </w:p>
          <w:p w14:paraId="7ACF6DF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use where pier and pole construction is utilised:</w:t>
            </w:r>
          </w:p>
          <w:p w14:paraId="02BAE252" w14:textId="77777777"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14:paraId="568916D0" w14:textId="77777777"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14:paraId="643D1E27"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17BAA0ED"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61FEEC72" w14:textId="77777777" w:rsidTr="002C249B">
        <w:trPr>
          <w:trHeight w:val="31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6FC8996E"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7DB30BC4"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7.2</w:t>
            </w:r>
          </w:p>
          <w:p w14:paraId="58D7535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14:paraId="57A420AB" w14:textId="77777777"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14:paraId="4E861C95" w14:textId="77777777"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14:paraId="0A035F84" w14:textId="77777777"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must not impede flood flow.  </w:t>
            </w:r>
          </w:p>
        </w:tc>
        <w:tc>
          <w:tcPr>
            <w:tcW w:w="598" w:type="pct"/>
            <w:gridSpan w:val="3"/>
            <w:tcBorders>
              <w:top w:val="outset" w:sz="6" w:space="0" w:color="auto"/>
              <w:left w:val="outset" w:sz="6" w:space="0" w:color="auto"/>
              <w:bottom w:val="outset" w:sz="6" w:space="0" w:color="auto"/>
              <w:right w:val="outset" w:sz="6" w:space="0" w:color="auto"/>
            </w:tcBorders>
          </w:tcPr>
          <w:p w14:paraId="3E740732"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444E48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586069BB" w14:textId="77777777"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0BC1CB7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PO8</w:t>
            </w:r>
          </w:p>
          <w:p w14:paraId="24A7B6A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public safety and risk to the environment are not adversely affected by a detrimental impact of floodwaters up to the Defined Flood Event on a hazardous chemical located or stored on the premises. </w:t>
            </w:r>
          </w:p>
        </w:tc>
        <w:tc>
          <w:tcPr>
            <w:tcW w:w="1710" w:type="pct"/>
            <w:gridSpan w:val="3"/>
            <w:tcBorders>
              <w:top w:val="outset" w:sz="6" w:space="0" w:color="auto"/>
              <w:left w:val="outset" w:sz="6" w:space="0" w:color="auto"/>
              <w:bottom w:val="outset" w:sz="6" w:space="0" w:color="auto"/>
              <w:right w:val="outset" w:sz="6" w:space="0" w:color="auto"/>
            </w:tcBorders>
            <w:hideMark/>
          </w:tcPr>
          <w:p w14:paraId="5117DCE5" w14:textId="77777777"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8</w:t>
            </w:r>
          </w:p>
          <w:p w14:paraId="1B82131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14:paraId="7C5D9DF2" w14:textId="77777777" w:rsidTr="00357954">
              <w:trPr>
                <w:tblCellSpacing w:w="15" w:type="dxa"/>
              </w:trPr>
              <w:tc>
                <w:tcPr>
                  <w:tcW w:w="6042" w:type="dxa"/>
                  <w:vAlign w:val="center"/>
                  <w:hideMark/>
                </w:tcPr>
                <w:p w14:paraId="6822066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 xml:space="preserve">for requirements related to the manufacture and storage of hazardous substances. </w:t>
                  </w:r>
                </w:p>
              </w:tc>
            </w:tr>
          </w:tbl>
          <w:p w14:paraId="2E815403"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3280BDC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FFC2D3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630EA818" w14:textId="77777777"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14:paraId="05C50C5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For all other material change of use or building work</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14:paraId="7377448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14:paraId="418D414B"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2082CFBA" w14:textId="77777777" w:rsidTr="008E6513">
        <w:trPr>
          <w:trHeight w:val="4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4453965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PO9</w:t>
            </w:r>
          </w:p>
          <w:p w14:paraId="55BC01A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w:t>
            </w:r>
          </w:p>
          <w:p w14:paraId="2897CF97" w14:textId="77777777"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limited in the High risk flood hazard area included in the Limited development zone to </w:t>
            </w:r>
            <w:r w:rsidRPr="00A87D91">
              <w:rPr>
                <w:rFonts w:ascii="Arial" w:eastAsia="Times New Roman" w:hAnsi="Arial" w:cs="Arial"/>
                <w:sz w:val="20"/>
                <w:szCs w:val="20"/>
                <w:lang w:eastAsia="en-AU"/>
              </w:rPr>
              <w:lastRenderedPageBreak/>
              <w:t xml:space="preserve">avoid the extremely unacceptable intolerable risk of the flood hazard; </w:t>
            </w:r>
          </w:p>
          <w:p w14:paraId="6303939E" w14:textId="77777777"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managed in the High risk flood hazard area not included in the Limited development zone to mitigate the unacceptable intolerable risk of the flood hazard; </w:t>
            </w:r>
          </w:p>
          <w:p w14:paraId="1B430458" w14:textId="77777777"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managed in the other sub-categories of the Flood planning area to mitigate the tolerable risk of the flood hazard.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14:paraId="2AEBA984" w14:textId="77777777" w:rsidTr="00357954">
              <w:trPr>
                <w:tblCellSpacing w:w="15" w:type="dxa"/>
              </w:trPr>
              <w:tc>
                <w:tcPr>
                  <w:tcW w:w="4530" w:type="dxa"/>
                  <w:vAlign w:val="center"/>
                  <w:hideMark/>
                </w:tcPr>
                <w:p w14:paraId="750A65A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risk of the flood hazard applicable to the premises in the relevant sub-categories of the Flood planning area. </w:t>
                  </w:r>
                </w:p>
              </w:tc>
            </w:tr>
          </w:tbl>
          <w:p w14:paraId="2DD2F69C"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114B875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14:paraId="199468E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6D8849C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14:paraId="272814AB" w14:textId="77777777" w:rsidTr="008E6513">
        <w:trPr>
          <w:trHeight w:val="78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5567DF3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PO10</w:t>
            </w:r>
          </w:p>
          <w:p w14:paraId="0CEB609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personal safety at all times, such that:</w:t>
            </w:r>
          </w:p>
          <w:p w14:paraId="3CE4E38F" w14:textId="77777777"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vulnerable land use (flood and coastal) is not located in the High risk flood hazard area or Medium risk flood hazard area;</w:t>
            </w:r>
          </w:p>
          <w:p w14:paraId="33FABDF7" w14:textId="77777777"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new buildings are not located in the High risk flood hazard area included in the Limited development zone;</w:t>
            </w:r>
          </w:p>
          <w:p w14:paraId="35567E7A" w14:textId="77777777"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residential accommodation building is located in the following:</w:t>
            </w:r>
          </w:p>
          <w:p w14:paraId="523EEEAD" w14:textId="77777777"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Balance flood planning area; or</w:t>
            </w:r>
          </w:p>
          <w:p w14:paraId="53575350" w14:textId="77777777"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the Medium risk area where located in the Medium risk storm tide inundation area of the Coastal hazard overlay or Balance coastal planning area of the Coastal hazard overlay ; </w:t>
            </w:r>
          </w:p>
          <w:p w14:paraId="5824168D" w14:textId="77777777"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evacuation capability from the development or other premises is not hindered or made more complicated and there is no significant additional burden placed on emergency services personnel; </w:t>
            </w:r>
          </w:p>
          <w:p w14:paraId="7B820E0A" w14:textId="77777777" w:rsidR="00603636"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the isolation of persons in the Defined Flood Event is avoided.</w:t>
            </w:r>
          </w:p>
          <w:p w14:paraId="47618846" w14:textId="77777777" w:rsidR="00DE735D" w:rsidRPr="008E6513" w:rsidRDefault="00DE735D" w:rsidP="00DE735D">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To demonstrate achievement of the performance outcome, an engineering report is to be prepared by a suitably qualified person. Guidance on the matters to be addressed in the report is provided in the Planning scheme policy Flood Hazard, Coastal Hazard and Overland Flow.</w:t>
            </w:r>
          </w:p>
          <w:p w14:paraId="03B5BBFA" w14:textId="77777777" w:rsidR="00DE735D" w:rsidRPr="00A87D91" w:rsidRDefault="00DE735D" w:rsidP="00DE735D">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Development for residential accommodation must mitigate the medium risk for development to proceed in accordance with the Coastal hazard overlay code.</w:t>
            </w:r>
          </w:p>
        </w:tc>
        <w:tc>
          <w:tcPr>
            <w:tcW w:w="1710" w:type="pct"/>
            <w:gridSpan w:val="3"/>
            <w:tcBorders>
              <w:top w:val="outset" w:sz="6" w:space="0" w:color="auto"/>
              <w:left w:val="outset" w:sz="6" w:space="0" w:color="auto"/>
              <w:bottom w:val="outset" w:sz="6" w:space="0" w:color="auto"/>
              <w:right w:val="outset" w:sz="6" w:space="0" w:color="auto"/>
            </w:tcBorders>
            <w:hideMark/>
          </w:tcPr>
          <w:p w14:paraId="6DF9116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14:paraId="071E77D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36E9171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14:paraId="3B6E361D" w14:textId="77777777"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14:paraId="47AD9DE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PO11</w:t>
            </w:r>
          </w:p>
          <w:p w14:paraId="6A8F0F6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resilient to a flood hazard event by ensuring design and built form account for the potential risks of the flood hazard event.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14:paraId="0F260AA0" w14:textId="77777777" w:rsidTr="00357954">
              <w:trPr>
                <w:trHeight w:val="210"/>
                <w:tblCellSpacing w:w="15" w:type="dxa"/>
              </w:trPr>
              <w:tc>
                <w:tcPr>
                  <w:tcW w:w="4530" w:type="dxa"/>
                  <w:vAlign w:val="center"/>
                  <w:hideMark/>
                </w:tcPr>
                <w:p w14:paraId="0D4E47D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New buildings within the Medium risk area </w:t>
                  </w:r>
                  <w:r w:rsidR="002C249B" w:rsidRPr="008E6513">
                    <w:rPr>
                      <w:rFonts w:ascii="Arial" w:eastAsia="Times New Roman" w:hAnsi="Arial" w:cs="Arial"/>
                      <w:sz w:val="18"/>
                      <w:szCs w:val="20"/>
                      <w:lang w:eastAsia="en-AU"/>
                    </w:rPr>
                    <w:t xml:space="preserve">where the estimated maximum flow velocity exceeds 1.5m/s, and those within the High risk area </w:t>
                  </w:r>
                  <w:r w:rsidRPr="008E6513">
                    <w:rPr>
                      <w:rFonts w:ascii="Arial" w:eastAsia="Times New Roman" w:hAnsi="Arial" w:cs="Arial"/>
                      <w:sz w:val="18"/>
                      <w:szCs w:val="20"/>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w:t>
                  </w:r>
                  <w:r w:rsidR="0035377F" w:rsidRPr="008E6513">
                    <w:rPr>
                      <w:rFonts w:ascii="Arial" w:eastAsia="Times New Roman" w:hAnsi="Arial" w:cs="Arial"/>
                      <w:sz w:val="18"/>
                      <w:szCs w:val="20"/>
                      <w:lang w:eastAsia="en-AU"/>
                    </w:rPr>
                    <w:t xml:space="preserve"> </w:t>
                  </w:r>
                  <w:r w:rsidRPr="008E6513">
                    <w:rPr>
                      <w:rFonts w:ascii="Arial" w:eastAsia="Times New Roman" w:hAnsi="Arial" w:cs="Arial"/>
                      <w:sz w:val="18"/>
                      <w:szCs w:val="20"/>
                      <w:lang w:eastAsia="en-AU"/>
                    </w:rPr>
                    <w:t>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w:t>
                  </w:r>
                  <w:hyperlink r:id="rId15" w:tgtFrame="_blank" w:tooltip="https://www.moretonbay.qld.gov.au/floodcheck/" w:history="1">
                    <w:r w:rsidRPr="008E6513">
                      <w:rPr>
                        <w:rFonts w:ascii="Arial" w:eastAsia="Times New Roman" w:hAnsi="Arial" w:cs="Arial"/>
                        <w:sz w:val="18"/>
                        <w:szCs w:val="20"/>
                        <w:u w:val="single"/>
                        <w:lang w:eastAsia="en-AU"/>
                      </w:rPr>
                      <w:t>https://www.moretonbay.qld.gov.au/floodcheck/</w:t>
                    </w:r>
                  </w:hyperlink>
                  <w:r w:rsidRPr="008E6513">
                    <w:rPr>
                      <w:rFonts w:ascii="Arial" w:eastAsia="Times New Roman" w:hAnsi="Arial" w:cs="Arial"/>
                      <w:sz w:val="18"/>
                      <w:szCs w:val="20"/>
                      <w:lang w:eastAsia="en-AU"/>
                    </w:rPr>
                    <w:t xml:space="preserve">. </w:t>
                  </w:r>
                </w:p>
              </w:tc>
            </w:tr>
            <w:tr w:rsidR="00603636" w:rsidRPr="00A87D91" w14:paraId="483F3329" w14:textId="77777777" w:rsidTr="00357954">
              <w:trPr>
                <w:tblCellSpacing w:w="15" w:type="dxa"/>
              </w:trPr>
              <w:tc>
                <w:tcPr>
                  <w:tcW w:w="4530" w:type="dxa"/>
                  <w:vAlign w:val="center"/>
                  <w:hideMark/>
                </w:tcPr>
                <w:p w14:paraId="41724C9B" w14:textId="77777777" w:rsidR="002C249B" w:rsidRDefault="002C249B" w:rsidP="00A87D91">
                  <w:pPr>
                    <w:spacing w:before="100" w:beforeAutospacing="1" w:after="100" w:afterAutospacing="1" w:line="240" w:lineRule="auto"/>
                    <w:rPr>
                      <w:rFonts w:ascii="Arial" w:eastAsia="Times New Roman" w:hAnsi="Arial" w:cs="Arial"/>
                      <w:sz w:val="20"/>
                      <w:szCs w:val="20"/>
                      <w:lang w:eastAsia="en-AU"/>
                    </w:rPr>
                  </w:pPr>
                </w:p>
                <w:p w14:paraId="58F19DC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14:paraId="3B9A917F"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3CC9AA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Development involving building work for a residential use</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14:paraId="4B564A51"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14:paraId="486DE81B"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CF6DD4" w:rsidRPr="00A87D91" w14:paraId="455C50F1"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0E1EDC5E"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50F8AFDB"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11.1</w:t>
            </w:r>
          </w:p>
          <w:p w14:paraId="6F7F36C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6"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14:paraId="6DD9A81C" w14:textId="77777777" w:rsidTr="00357954">
              <w:trPr>
                <w:tblCellSpacing w:w="15" w:type="dxa"/>
              </w:trPr>
              <w:tc>
                <w:tcPr>
                  <w:tcW w:w="6042" w:type="dxa"/>
                  <w:vAlign w:val="center"/>
                  <w:hideMark/>
                </w:tcPr>
                <w:p w14:paraId="7E646DEA"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2C249B"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14:paraId="6CDA42BC" w14:textId="77777777" w:rsidTr="00357954">
              <w:trPr>
                <w:tblCellSpacing w:w="15" w:type="dxa"/>
              </w:trPr>
              <w:tc>
                <w:tcPr>
                  <w:tcW w:w="6042" w:type="dxa"/>
                  <w:vAlign w:val="center"/>
                  <w:hideMark/>
                </w:tcPr>
                <w:p w14:paraId="52132EFC" w14:textId="77777777" w:rsidR="002C249B" w:rsidRPr="008E6513" w:rsidRDefault="002C249B" w:rsidP="00A87D91">
                  <w:pPr>
                    <w:spacing w:after="0" w:line="240" w:lineRule="auto"/>
                    <w:rPr>
                      <w:rFonts w:ascii="Arial" w:eastAsia="Times New Roman" w:hAnsi="Arial" w:cs="Arial"/>
                      <w:sz w:val="18"/>
                      <w:szCs w:val="20"/>
                      <w:lang w:eastAsia="en-AU"/>
                    </w:rPr>
                  </w:pPr>
                </w:p>
                <w:p w14:paraId="44FE5A48"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14:paraId="0C3F2A8C"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6E50074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F337D58"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14:paraId="6C8C95FE"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0199FB55" w14:textId="77777777"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0B4B8DD3" w14:textId="77777777"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14:paraId="0C6C356B"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68631B68"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3D1F5D31"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11.2</w:t>
            </w:r>
          </w:p>
          <w:p w14:paraId="7746F6AA"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Development ensures that the finished floor level is located, designed and constructed to at least the flood planning level in </w:t>
            </w:r>
            <w:hyperlink r:id="rId1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14:paraId="43627F82" w14:textId="77777777" w:rsidTr="00357954">
              <w:trPr>
                <w:tblCellSpacing w:w="15" w:type="dxa"/>
              </w:trPr>
              <w:tc>
                <w:tcPr>
                  <w:tcW w:w="6042" w:type="dxa"/>
                  <w:vAlign w:val="center"/>
                  <w:hideMark/>
                </w:tcPr>
                <w:p w14:paraId="7871DE1A"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High risk area or Medium risk area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14:paraId="259B9DCC" w14:textId="77777777" w:rsidTr="00357954">
              <w:trPr>
                <w:tblCellSpacing w:w="15" w:type="dxa"/>
              </w:trPr>
              <w:tc>
                <w:tcPr>
                  <w:tcW w:w="6042" w:type="dxa"/>
                  <w:vAlign w:val="center"/>
                  <w:hideMark/>
                </w:tcPr>
                <w:p w14:paraId="34C28601" w14:textId="77777777"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14:paraId="5E014EE2"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733C21A5"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64E3A635"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14:paraId="355AE5B7"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2E4A0E82" w14:textId="77777777"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14:paraId="6A1B5363" w14:textId="77777777"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all uses</w:t>
            </w:r>
          </w:p>
        </w:tc>
      </w:tr>
      <w:tr w:rsidR="00CF6DD4" w:rsidRPr="00A87D91" w14:paraId="1E60C12D" w14:textId="77777777"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7B2B74C5"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4D2B9ADC"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11.3</w:t>
            </w:r>
          </w:p>
          <w:p w14:paraId="1CE0B5F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14:paraId="73B1F94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0DB61C1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172235F7" w14:textId="77777777" w:rsidTr="002C249B">
        <w:trPr>
          <w:trHeight w:val="160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14:paraId="00DFA9E0"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14:paraId="1F84B7A4"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11.4</w:t>
            </w:r>
          </w:p>
          <w:p w14:paraId="4185CA1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8"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3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8"/>
            </w:tblGrid>
            <w:tr w:rsidR="00603636" w:rsidRPr="00A87D91" w14:paraId="2FB7BE5B" w14:textId="77777777" w:rsidTr="008E6513">
              <w:trPr>
                <w:tblCellSpacing w:w="15" w:type="dxa"/>
              </w:trPr>
              <w:tc>
                <w:tcPr>
                  <w:tcW w:w="5038" w:type="dxa"/>
                  <w:vAlign w:val="center"/>
                  <w:hideMark/>
                </w:tcPr>
                <w:p w14:paraId="44A6026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hyperlink r:id="rId19" w:tgtFrame="_blank" w:history="1">
                    <w:r w:rsidRPr="008E6513">
                      <w:rPr>
                        <w:rFonts w:ascii="Arial" w:eastAsia="Times New Roman" w:hAnsi="Arial" w:cs="Arial"/>
                        <w:sz w:val="18"/>
                        <w:szCs w:val="20"/>
                        <w:u w:val="single"/>
                        <w:lang w:eastAsia="en-AU"/>
                      </w:rPr>
                      <w:t>http://www.hpw.qld.gov.au/SiteCollectionDocuments/WaterRe</w:t>
                    </w:r>
                    <w:r w:rsidRPr="008E6513">
                      <w:rPr>
                        <w:rFonts w:ascii="Arial" w:eastAsia="Times New Roman" w:hAnsi="Arial" w:cs="Arial"/>
                        <w:sz w:val="18"/>
                        <w:szCs w:val="20"/>
                        <w:u w:val="single"/>
                        <w:lang w:eastAsia="en-AU"/>
                      </w:rPr>
                      <w:lastRenderedPageBreak/>
                      <w:t>silientProductsAndBuildingTechniquesForRebuildingAfterAFlood.pdf</w:t>
                    </w:r>
                  </w:hyperlink>
                </w:p>
              </w:tc>
            </w:tr>
          </w:tbl>
          <w:p w14:paraId="370E69B9"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14:paraId="3EFAAEA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320C263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14:paraId="1FD26F3F" w14:textId="77777777"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14:paraId="167D0A7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PO12</w:t>
            </w:r>
          </w:p>
          <w:p w14:paraId="56083B5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where earthworks alone cannot ensure the development achieves the flood planning level in </w:t>
            </w:r>
            <w:hyperlink r:id="rId20"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w:t>
            </w:r>
            <w:r w:rsidRPr="00A87D91">
              <w:rPr>
                <w:rFonts w:ascii="Arial" w:eastAsia="Times New Roman" w:hAnsi="Arial" w:cs="Arial"/>
                <w:sz w:val="20"/>
                <w:szCs w:val="20"/>
                <w:lang w:eastAsia="en-AU"/>
              </w:rPr>
              <w:t xml:space="preserve"> a building is designed and constructed using pier and pole construction to achieve the required flood immunity in the Defined Flood Event. </w:t>
            </w:r>
          </w:p>
        </w:tc>
        <w:tc>
          <w:tcPr>
            <w:tcW w:w="1710" w:type="pct"/>
            <w:gridSpan w:val="3"/>
            <w:tcBorders>
              <w:top w:val="outset" w:sz="6" w:space="0" w:color="auto"/>
              <w:left w:val="outset" w:sz="6" w:space="0" w:color="auto"/>
              <w:bottom w:val="outset" w:sz="6" w:space="0" w:color="auto"/>
              <w:right w:val="outset" w:sz="6" w:space="0" w:color="auto"/>
            </w:tcBorders>
            <w:hideMark/>
          </w:tcPr>
          <w:p w14:paraId="14DA7CD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 </w:t>
            </w:r>
          </w:p>
        </w:tc>
        <w:tc>
          <w:tcPr>
            <w:tcW w:w="598" w:type="pct"/>
            <w:gridSpan w:val="3"/>
            <w:tcBorders>
              <w:top w:val="outset" w:sz="6" w:space="0" w:color="auto"/>
              <w:left w:val="outset" w:sz="6" w:space="0" w:color="auto"/>
              <w:bottom w:val="outset" w:sz="6" w:space="0" w:color="auto"/>
              <w:right w:val="outset" w:sz="6" w:space="0" w:color="auto"/>
            </w:tcBorders>
          </w:tcPr>
          <w:p w14:paraId="1CF2EE1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14:paraId="2EA58B0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36ECBDDF" w14:textId="77777777" w:rsidTr="002C249B">
        <w:trPr>
          <w:trHeight w:val="3660"/>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67027B1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PO13</w:t>
            </w:r>
          </w:p>
          <w:p w14:paraId="6539B5F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earthworks complies with the requirements </w:t>
            </w:r>
            <w:r w:rsidRPr="008E6513">
              <w:rPr>
                <w:rFonts w:ascii="Arial" w:eastAsia="Times New Roman" w:hAnsi="Arial" w:cs="Arial"/>
                <w:sz w:val="20"/>
                <w:szCs w:val="20"/>
                <w:lang w:eastAsia="en-AU"/>
              </w:rPr>
              <w:t xml:space="preserve">of </w:t>
            </w:r>
            <w:hyperlink r:id="rId21" w:anchor="ID-571945-TABLE-8.2.2.4" w:history="1">
              <w:r w:rsidRPr="008E6513">
                <w:rPr>
                  <w:rFonts w:ascii="Arial" w:eastAsia="Times New Roman" w:hAnsi="Arial" w:cs="Arial"/>
                  <w:sz w:val="20"/>
                  <w:szCs w:val="20"/>
                  <w:lang w:eastAsia="en-AU"/>
                </w:rPr>
                <w:t>Table 8.2.2.4 ‘Fill Requirements’</w:t>
              </w:r>
            </w:hyperlink>
            <w:r w:rsidRPr="00A87D91">
              <w:rPr>
                <w:rFonts w:ascii="Arial" w:eastAsia="Times New Roman" w:hAnsi="Arial" w:cs="Arial"/>
                <w:sz w:val="20"/>
                <w:szCs w:val="20"/>
                <w:lang w:eastAsia="en-AU"/>
              </w:rPr>
              <w:t xml:space="preserve"> and does not: </w:t>
            </w:r>
          </w:p>
          <w:p w14:paraId="72079C6C" w14:textId="77777777"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14:paraId="2908E28E" w14:textId="77777777"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on other premises, public land, watercourses, roads or infrastructure or elsewhere in the floodplain; </w:t>
            </w:r>
          </w:p>
          <w:p w14:paraId="54E83D39" w14:textId="77777777"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14:paraId="41F79BD5" w14:textId="77777777" w:rsidTr="00357954">
              <w:trPr>
                <w:tblCellSpacing w:w="15" w:type="dxa"/>
              </w:trPr>
              <w:tc>
                <w:tcPr>
                  <w:tcW w:w="4530" w:type="dxa"/>
                  <w:vAlign w:val="center"/>
                  <w:hideMark/>
                </w:tcPr>
                <w:p w14:paraId="6C81932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14:paraId="532211AB"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5D0CBE6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4CF1B48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FA8B9C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6BA32E80" w14:textId="77777777"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333CEA1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PO14</w:t>
            </w:r>
          </w:p>
          <w:p w14:paraId="42EDDC5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Development supports and does not unduly burden, disaster management responses and recovery capacity and capabilities for a flood hazard event up to and including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14:paraId="3A2A908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0DF686B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459B233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424D87A4" w14:textId="77777777"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6E3BDAC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PO15</w:t>
            </w:r>
          </w:p>
          <w:p w14:paraId="0946303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has access which, having regard to the hydraulic hazard, provides for safe vehicular and pedestrian movement and emergency services access. </w:t>
            </w:r>
          </w:p>
        </w:tc>
        <w:tc>
          <w:tcPr>
            <w:tcW w:w="1714" w:type="pct"/>
            <w:gridSpan w:val="3"/>
            <w:tcBorders>
              <w:top w:val="outset" w:sz="6" w:space="0" w:color="auto"/>
              <w:left w:val="outset" w:sz="6" w:space="0" w:color="auto"/>
              <w:bottom w:val="outset" w:sz="6" w:space="0" w:color="auto"/>
              <w:right w:val="outset" w:sz="6" w:space="0" w:color="auto"/>
            </w:tcBorders>
            <w:hideMark/>
          </w:tcPr>
          <w:p w14:paraId="64B4489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7351421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0F621F0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612E1016" w14:textId="77777777" w:rsidTr="002C249B">
        <w:trPr>
          <w:trHeight w:val="223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3359839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PO16</w:t>
            </w:r>
          </w:p>
          <w:p w14:paraId="0C19BF4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14:paraId="6C9BDBE6" w14:textId="77777777" w:rsidTr="00357954">
              <w:trPr>
                <w:tblCellSpacing w:w="15" w:type="dxa"/>
              </w:trPr>
              <w:tc>
                <w:tcPr>
                  <w:tcW w:w="4530" w:type="dxa"/>
                  <w:vAlign w:val="center"/>
                  <w:hideMark/>
                </w:tcPr>
                <w:p w14:paraId="52CBB99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14:paraId="32500509"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2DDF520"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16.1</w:t>
            </w:r>
          </w:p>
          <w:p w14:paraId="581191B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14:paraId="350FB8BA" w14:textId="77777777"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14:paraId="372E8798" w14:textId="77777777"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609" w:type="pct"/>
            <w:gridSpan w:val="3"/>
            <w:tcBorders>
              <w:top w:val="outset" w:sz="6" w:space="0" w:color="auto"/>
              <w:left w:val="outset" w:sz="6" w:space="0" w:color="auto"/>
              <w:bottom w:val="outset" w:sz="6" w:space="0" w:color="auto"/>
              <w:right w:val="outset" w:sz="6" w:space="0" w:color="auto"/>
            </w:tcBorders>
          </w:tcPr>
          <w:p w14:paraId="0F14ABC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270E0DA4"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14739941" w14:textId="77777777" w:rsidTr="002C249B">
        <w:trPr>
          <w:trHeight w:val="30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3F2C0F15"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184B7278"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16.2</w:t>
            </w:r>
          </w:p>
          <w:p w14:paraId="2173374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14:paraId="5C1C0517" w14:textId="77777777"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14:paraId="39FC37F2" w14:textId="77777777"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14:paraId="1BFB0AAB" w14:textId="77777777"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but do not impede flood flow.  </w:t>
            </w:r>
          </w:p>
        </w:tc>
        <w:tc>
          <w:tcPr>
            <w:tcW w:w="609" w:type="pct"/>
            <w:gridSpan w:val="3"/>
            <w:tcBorders>
              <w:top w:val="outset" w:sz="6" w:space="0" w:color="auto"/>
              <w:left w:val="outset" w:sz="6" w:space="0" w:color="auto"/>
              <w:bottom w:val="outset" w:sz="6" w:space="0" w:color="auto"/>
              <w:right w:val="outset" w:sz="6" w:space="0" w:color="auto"/>
            </w:tcBorders>
          </w:tcPr>
          <w:p w14:paraId="08D50E1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708AB5F6"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4C29C6B2" w14:textId="77777777"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31CB01E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54147945"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307D260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142D825E" w14:textId="77777777" w:rsidTr="002C249B">
        <w:trPr>
          <w:trHeight w:val="37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79B86BC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PO17</w:t>
            </w:r>
          </w:p>
          <w:p w14:paraId="330CD98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w:t>
            </w:r>
          </w:p>
          <w:p w14:paraId="0F0247FF" w14:textId="77777777"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 personal safety at all times;</w:t>
            </w:r>
          </w:p>
          <w:p w14:paraId="6590B257" w14:textId="77777777"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potential for erosion, scour or flood damage either on the premises or other premises, public land, watercourses, roads or infrastructure or elsewhere in the floodplain; </w:t>
            </w:r>
          </w:p>
          <w:p w14:paraId="7B168FFD" w14:textId="77777777"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risk to people, property and infrastructure located on the premises and other premises and where applicable the risk for future occupants is mitigated. </w:t>
            </w:r>
          </w:p>
        </w:tc>
        <w:tc>
          <w:tcPr>
            <w:tcW w:w="1714" w:type="pct"/>
            <w:gridSpan w:val="3"/>
            <w:tcBorders>
              <w:top w:val="outset" w:sz="6" w:space="0" w:color="auto"/>
              <w:left w:val="outset" w:sz="6" w:space="0" w:color="auto"/>
              <w:bottom w:val="outset" w:sz="6" w:space="0" w:color="auto"/>
              <w:right w:val="outset" w:sz="6" w:space="0" w:color="auto"/>
            </w:tcBorders>
            <w:hideMark/>
          </w:tcPr>
          <w:p w14:paraId="2B9EDBB1"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17.1</w:t>
            </w:r>
          </w:p>
          <w:p w14:paraId="085ED5A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development footprint is located in an area other than a High risk area.</w:t>
            </w:r>
          </w:p>
        </w:tc>
        <w:tc>
          <w:tcPr>
            <w:tcW w:w="609" w:type="pct"/>
            <w:gridSpan w:val="3"/>
            <w:tcBorders>
              <w:top w:val="outset" w:sz="6" w:space="0" w:color="auto"/>
              <w:left w:val="outset" w:sz="6" w:space="0" w:color="auto"/>
              <w:bottom w:val="outset" w:sz="6" w:space="0" w:color="auto"/>
              <w:right w:val="outset" w:sz="6" w:space="0" w:color="auto"/>
            </w:tcBorders>
          </w:tcPr>
          <w:p w14:paraId="3937B5B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2943415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2816E7B1" w14:textId="77777777" w:rsidTr="002C249B">
        <w:trPr>
          <w:trHeight w:val="6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30EEFDA2"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5B84ED24"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17.2</w:t>
            </w:r>
          </w:p>
          <w:p w14:paraId="158A6E4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entry points into the development are located to provide a safe and clear evacuation route path.</w:t>
            </w:r>
          </w:p>
        </w:tc>
        <w:tc>
          <w:tcPr>
            <w:tcW w:w="609" w:type="pct"/>
            <w:gridSpan w:val="3"/>
            <w:tcBorders>
              <w:top w:val="outset" w:sz="6" w:space="0" w:color="auto"/>
              <w:left w:val="outset" w:sz="6" w:space="0" w:color="auto"/>
              <w:bottom w:val="outset" w:sz="6" w:space="0" w:color="auto"/>
              <w:right w:val="outset" w:sz="6" w:space="0" w:color="auto"/>
            </w:tcBorders>
          </w:tcPr>
          <w:p w14:paraId="7AB43D8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FA856CD"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6517F13E" w14:textId="77777777" w:rsidTr="002C249B">
        <w:trPr>
          <w:trHeight w:val="1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11C33676"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90D197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5695F651"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52175B57"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14:paraId="1C1732C8" w14:textId="77777777" w:rsidTr="002C249B">
        <w:trPr>
          <w:trHeight w:val="9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628ED327"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FFFFFF"/>
            <w:hideMark/>
          </w:tcPr>
          <w:p w14:paraId="1C477422"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17.3</w:t>
            </w:r>
          </w:p>
          <w:p w14:paraId="7C3F049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occurs in accordance with a drainage master plan for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FFFFFF"/>
          </w:tcPr>
          <w:p w14:paraId="189FA5D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FFFFFF"/>
          </w:tcPr>
          <w:p w14:paraId="3FAAF21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5578A467" w14:textId="77777777" w:rsidTr="002C249B">
        <w:trPr>
          <w:trHeight w:val="300"/>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hideMark/>
          </w:tcPr>
          <w:p w14:paraId="4103D9E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(other than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4BCA618F"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2E0D761B"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8E6513" w:rsidRPr="008E6513" w14:paraId="44113291" w14:textId="77777777" w:rsidTr="002C249B">
        <w:trPr>
          <w:trHeight w:val="13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1047DEE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PO18</w:t>
            </w:r>
          </w:p>
          <w:p w14:paraId="303F3BC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compatible with the intolerable or tolerable level of risk of the flood hazard applicable to the premises such that reconfiguring a lot for creating lots by subdividing another lot: </w:t>
            </w:r>
          </w:p>
          <w:p w14:paraId="04E6194B" w14:textId="77777777"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High risk area, is only for the purposes of </w:t>
            </w:r>
            <w:r w:rsidR="002C249B">
              <w:rPr>
                <w:rFonts w:ascii="Arial" w:eastAsia="Times New Roman" w:hAnsi="Arial" w:cs="Arial"/>
                <w:sz w:val="20"/>
                <w:szCs w:val="20"/>
                <w:lang w:eastAsia="en-AU"/>
              </w:rPr>
              <w:t xml:space="preserve">a </w:t>
            </w:r>
            <w:r w:rsidRPr="00A87D91">
              <w:rPr>
                <w:rFonts w:ascii="Arial" w:eastAsia="Times New Roman" w:hAnsi="Arial" w:cs="Arial"/>
                <w:sz w:val="20"/>
                <w:szCs w:val="20"/>
                <w:lang w:eastAsia="en-AU"/>
              </w:rPr>
              <w:t>Park or Permanent plantation unless:</w:t>
            </w:r>
          </w:p>
          <w:p w14:paraId="0A65025B" w14:textId="77777777"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High risk area; or </w:t>
            </w:r>
          </w:p>
          <w:p w14:paraId="601801B2" w14:textId="77777777"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w:t>
            </w:r>
            <w:r w:rsidR="0045430D">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where a development</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footprint (flood and coastal) is provided</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outside the High risk area</w:t>
            </w:r>
            <w:r w:rsidRPr="002C249B">
              <w:rPr>
                <w:rFonts w:ascii="Arial" w:eastAsia="Times New Roman" w:hAnsi="Arial" w:cs="Arial"/>
                <w:sz w:val="20"/>
                <w:szCs w:val="20"/>
                <w:lang w:eastAsia="en-AU"/>
              </w:rPr>
              <w:t>; or</w:t>
            </w:r>
          </w:p>
          <w:p w14:paraId="1406030D" w14:textId="77777777" w:rsidR="004A50FE"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Medium risk area, is only for the purposes of </w:t>
            </w:r>
            <w:r w:rsidR="002C249B" w:rsidRPr="004A50FE">
              <w:rPr>
                <w:rFonts w:ascii="Arial" w:eastAsia="Times New Roman" w:hAnsi="Arial" w:cs="Arial"/>
                <w:sz w:val="20"/>
                <w:szCs w:val="20"/>
                <w:lang w:eastAsia="en-AU"/>
              </w:rPr>
              <w:t xml:space="preserve">a </w:t>
            </w:r>
            <w:r w:rsidRPr="004A50FE">
              <w:rPr>
                <w:rFonts w:ascii="Arial" w:eastAsia="Times New Roman" w:hAnsi="Arial" w:cs="Arial"/>
                <w:sz w:val="20"/>
                <w:szCs w:val="20"/>
                <w:lang w:eastAsia="en-AU"/>
              </w:rPr>
              <w:t>Park or Permanent plantation unless:</w:t>
            </w:r>
          </w:p>
          <w:p w14:paraId="45AFC717" w14:textId="77777777"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in the Rural zone</w:t>
            </w:r>
            <w:r w:rsidR="002C249B" w:rsidRPr="004A50FE">
              <w:rPr>
                <w:rFonts w:ascii="Arial" w:eastAsia="Times New Roman" w:hAnsi="Arial" w:cs="Arial"/>
                <w:sz w:val="20"/>
                <w:szCs w:val="20"/>
                <w:lang w:eastAsia="en-AU"/>
              </w:rPr>
              <w:t xml:space="preserve"> where a development footprint (flood and </w:t>
            </w:r>
            <w:r w:rsidR="002C249B" w:rsidRPr="004A50FE">
              <w:rPr>
                <w:rFonts w:ascii="Arial" w:eastAsia="Times New Roman" w:hAnsi="Arial" w:cs="Arial"/>
                <w:sz w:val="20"/>
                <w:szCs w:val="20"/>
                <w:lang w:eastAsia="en-AU"/>
              </w:rPr>
              <w:lastRenderedPageBreak/>
              <w:t>coastal) is provided outside the Medium risk area</w:t>
            </w:r>
            <w:r w:rsidRPr="004A50FE">
              <w:rPr>
                <w:rFonts w:ascii="Arial" w:eastAsia="Times New Roman" w:hAnsi="Arial" w:cs="Arial"/>
                <w:sz w:val="20"/>
                <w:szCs w:val="20"/>
                <w:lang w:eastAsia="en-AU"/>
              </w:rPr>
              <w:t>; or</w:t>
            </w:r>
          </w:p>
          <w:p w14:paraId="03758E22" w14:textId="77777777"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Rural residential zone, where the </w:t>
            </w:r>
            <w:r w:rsidR="002C249B" w:rsidRPr="004A50FE">
              <w:rPr>
                <w:rFonts w:ascii="Arial" w:eastAsia="Times New Roman" w:hAnsi="Arial" w:cs="Arial"/>
                <w:sz w:val="20"/>
                <w:szCs w:val="20"/>
                <w:lang w:eastAsia="en-AU"/>
              </w:rPr>
              <w:t>development footprint (flood and coastal)</w:t>
            </w:r>
            <w:r w:rsidRPr="004A50FE">
              <w:rPr>
                <w:rFonts w:ascii="Arial" w:eastAsia="Times New Roman" w:hAnsi="Arial" w:cs="Arial"/>
                <w:sz w:val="20"/>
                <w:szCs w:val="20"/>
                <w:lang w:eastAsia="en-AU"/>
              </w:rPr>
              <w:t xml:space="preserve"> for each rural residential lot is provided outside the Medium risk area; or </w:t>
            </w:r>
          </w:p>
          <w:p w14:paraId="4FDA5A7C" w14:textId="77777777"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any other zone, where all resultant lots are located outside the High risk or Medium risk area other than those for the purposes of Park or Permanent plantation; or </w:t>
            </w:r>
          </w:p>
          <w:p w14:paraId="06CE205D" w14:textId="77777777" w:rsidR="00603636"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In the Balance flood planning area, is consistent with the overall outcomes of the applicable zone and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14:paraId="506410DE" w14:textId="77777777" w:rsidTr="00357954">
              <w:trPr>
                <w:tblCellSpacing w:w="15" w:type="dxa"/>
              </w:trPr>
              <w:tc>
                <w:tcPr>
                  <w:tcW w:w="4530" w:type="dxa"/>
                  <w:vAlign w:val="center"/>
                  <w:hideMark/>
                </w:tcPr>
                <w:p w14:paraId="2CBC570B" w14:textId="77777777" w:rsidR="00603636" w:rsidRPr="008E6513" w:rsidRDefault="00603636"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level of risk applicable to premises in the High risk area, Medium risk area and Low risk area of the Flood planning area. </w:t>
                  </w:r>
                </w:p>
              </w:tc>
            </w:tr>
          </w:tbl>
          <w:p w14:paraId="29E8069E"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5529970"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20"/>
                <w:szCs w:val="20"/>
                <w:lang w:eastAsia="en-AU"/>
              </w:rPr>
              <w:lastRenderedPageBreak/>
              <w:t xml:space="preserve">No </w:t>
            </w:r>
            <w:r w:rsidR="000970E8" w:rsidRPr="008E6513">
              <w:rPr>
                <w:rFonts w:ascii="Arial" w:eastAsia="Times New Roman" w:hAnsi="Arial" w:cs="Arial"/>
                <w:sz w:val="20"/>
                <w:szCs w:val="20"/>
                <w:lang w:eastAsia="en-AU"/>
              </w:rPr>
              <w:t>example</w:t>
            </w:r>
            <w:r w:rsidRPr="008E6513">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14:paraId="0CD546D1"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D0A6D54"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8E6513" w:rsidRPr="008E6513" w14:paraId="0D081EAB" w14:textId="77777777"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62CDB2AD" w14:textId="77777777"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PO19</w:t>
            </w:r>
          </w:p>
          <w:p w14:paraId="084C7410" w14:textId="77777777"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 ensure personal safety at all times such that:</w:t>
            </w:r>
          </w:p>
          <w:p w14:paraId="780D3BC9" w14:textId="77777777"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flood immunity up to the Flood planning level is achieved;</w:t>
            </w:r>
          </w:p>
          <w:p w14:paraId="2EBB9424" w14:textId="77777777"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road layout avoids isolation in a flood hazard event and does not impede evacuation;</w:t>
            </w:r>
          </w:p>
          <w:p w14:paraId="6D2F084F" w14:textId="77777777"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utilised to ensure that community members have a clear understanding of the nature of the flood risk in the area.</w:t>
            </w: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405EB9BB" w14:textId="77777777" w:rsidR="0035246F" w:rsidRPr="008E6513"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8E6513">
              <w:rPr>
                <w:rFonts w:ascii="Arial" w:eastAsia="Times New Roman" w:hAnsi="Arial" w:cs="Arial"/>
                <w:i/>
                <w:iCs/>
                <w:sz w:val="20"/>
                <w:szCs w:val="20"/>
                <w:lang w:eastAsia="en-AU"/>
              </w:rPr>
              <w:lastRenderedPageBreak/>
              <w:t xml:space="preserve">If the ground level is to be filled to the Flood planning level as permitted by </w:t>
            </w:r>
            <w:hyperlink r:id="rId22" w:anchor="ID-571945-TABLE-8.2.2.4" w:history="1">
              <w:r w:rsidRPr="008E6513">
                <w:rPr>
                  <w:rFonts w:ascii="Arial" w:eastAsia="Times New Roman" w:hAnsi="Arial" w:cs="Arial"/>
                  <w:i/>
                  <w:iCs/>
                  <w:sz w:val="20"/>
                  <w:szCs w:val="20"/>
                  <w:lang w:eastAsia="en-AU"/>
                </w:rPr>
                <w:t>Table 8.2.2.4 ‘Fill Requirements’</w:t>
              </w:r>
            </w:hyperlink>
          </w:p>
        </w:tc>
      </w:tr>
      <w:tr w:rsidR="00FA3B2F" w:rsidRPr="00A87D91" w14:paraId="0C0F1B0D"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0B8D3089"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28BA3E7"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19.1</w:t>
            </w:r>
          </w:p>
          <w:p w14:paraId="021BAE3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finished ground level for all additional lots (excluding a Park</w:t>
            </w:r>
            <w:r w:rsidRPr="00A87D91">
              <w:rPr>
                <w:rFonts w:ascii="Arial" w:eastAsia="Times New Roman" w:hAnsi="Arial" w:cs="Arial"/>
                <w:sz w:val="20"/>
                <w:szCs w:val="20"/>
                <w:vertAlign w:val="superscript"/>
                <w:lang w:eastAsia="en-AU"/>
              </w:rPr>
              <w:t>(</w:t>
            </w:r>
            <w:hyperlink r:id="rId23"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complies with the requirements of </w:t>
            </w:r>
            <w:hyperlink r:id="rId2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p>
        </w:tc>
        <w:tc>
          <w:tcPr>
            <w:tcW w:w="609" w:type="pct"/>
            <w:gridSpan w:val="3"/>
            <w:tcBorders>
              <w:top w:val="outset" w:sz="6" w:space="0" w:color="auto"/>
              <w:left w:val="outset" w:sz="6" w:space="0" w:color="auto"/>
              <w:bottom w:val="outset" w:sz="6" w:space="0" w:color="auto"/>
              <w:right w:val="outset" w:sz="6" w:space="0" w:color="auto"/>
            </w:tcBorders>
          </w:tcPr>
          <w:p w14:paraId="7AF7FB0D"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166717F7"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7B6AB34C" w14:textId="77777777" w:rsidTr="002C249B">
        <w:trPr>
          <w:trHeight w:val="526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3A8D7DAA"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611AC895"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19.2</w:t>
            </w:r>
          </w:p>
          <w:p w14:paraId="5B8DF68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road and pathway layout:</w:t>
            </w:r>
          </w:p>
          <w:p w14:paraId="7038C482" w14:textId="77777777"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ensures residents are not physically isolated from an adjacent flood-free urban area;</w:t>
            </w:r>
          </w:p>
          <w:p w14:paraId="4CD79308" w14:textId="77777777"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provides a safe and clear evacuation route path by:</w:t>
            </w:r>
          </w:p>
          <w:p w14:paraId="053071A7" w14:textId="77777777"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locating entry points into the development above the requirements set out in Appendix C of the Planning scheme policy - Integrated design and avoiding cul-de-sac or other non-permeable layouts; </w:t>
            </w:r>
          </w:p>
          <w:p w14:paraId="2E84BBAE" w14:textId="77777777"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 and simple routes to a main carriageway.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14:paraId="48A0F0A7" w14:textId="77777777" w:rsidTr="002C249B">
              <w:trPr>
                <w:tblCellSpacing w:w="15" w:type="dxa"/>
              </w:trPr>
              <w:tc>
                <w:tcPr>
                  <w:tcW w:w="5121" w:type="dxa"/>
                  <w:vAlign w:val="center"/>
                  <w:hideMark/>
                </w:tcPr>
                <w:p w14:paraId="3520DBE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It is important to ensure that new reconfigurations are not isolated from other urban areas in the event of a flood.</w:t>
                  </w:r>
                </w:p>
              </w:tc>
            </w:tr>
          </w:tbl>
          <w:p w14:paraId="613D184C"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14:paraId="7FDA0F72"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B8F8192"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4F398006"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476D7527"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D342D76"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19.3</w:t>
            </w:r>
          </w:p>
          <w:p w14:paraId="65C0EEF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a greenfield area protects a flood conveyance area by providing an easement or reserve over the area of the premises up to the Defined Flood Event</w:t>
            </w:r>
            <w:r w:rsidR="002C249B">
              <w:rPr>
                <w:rFonts w:ascii="Arial" w:eastAsia="Times New Roman" w:hAnsi="Arial" w:cs="Arial"/>
                <w:sz w:val="20"/>
                <w:szCs w:val="20"/>
                <w:lang w:eastAsia="en-AU"/>
              </w:rPr>
              <w:t xml:space="preserve"> (including freeboard) in accordance with Planning scheme policy - Integrated design</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14:paraId="359C778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4EA29BA2"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79217238"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6BF14EC7"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23681803"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19.4</w:t>
            </w:r>
          </w:p>
          <w:p w14:paraId="6B6DFE5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new road and development access are provided in accordance with the requirements set out in Appendix C of the Planning scheme policy - Integrated design. </w:t>
            </w:r>
          </w:p>
        </w:tc>
        <w:tc>
          <w:tcPr>
            <w:tcW w:w="609" w:type="pct"/>
            <w:gridSpan w:val="3"/>
            <w:tcBorders>
              <w:top w:val="outset" w:sz="6" w:space="0" w:color="auto"/>
              <w:left w:val="outset" w:sz="6" w:space="0" w:color="auto"/>
              <w:bottom w:val="outset" w:sz="6" w:space="0" w:color="auto"/>
              <w:right w:val="outset" w:sz="6" w:space="0" w:color="auto"/>
            </w:tcBorders>
          </w:tcPr>
          <w:p w14:paraId="75C2FB8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5437BB8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09420DA1" w14:textId="77777777" w:rsidTr="002C249B">
        <w:trPr>
          <w:trHeight w:val="327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1327C230"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77515804"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19.5</w:t>
            </w:r>
          </w:p>
          <w:p w14:paraId="06AA949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14:paraId="5912C6CF" w14:textId="77777777"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provided on a road or pathway indicating the position and path of all safe evacuation routes off the premises;</w:t>
            </w:r>
          </w:p>
          <w:p w14:paraId="4061D342" w14:textId="77777777" w:rsidR="00603636" w:rsidRPr="002C249B" w:rsidRDefault="00603636" w:rsidP="002C249B">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if the premises contains or is within 100m of a waterway, hazard warning signage and depth indicators are provided at each key hazard point, such as at a waterway crossing or an entrance to a low-lying reserve.  </w:t>
            </w:r>
          </w:p>
        </w:tc>
        <w:tc>
          <w:tcPr>
            <w:tcW w:w="609" w:type="pct"/>
            <w:gridSpan w:val="3"/>
            <w:tcBorders>
              <w:top w:val="outset" w:sz="6" w:space="0" w:color="auto"/>
              <w:left w:val="outset" w:sz="6" w:space="0" w:color="auto"/>
              <w:bottom w:val="outset" w:sz="6" w:space="0" w:color="auto"/>
              <w:right w:val="outset" w:sz="6" w:space="0" w:color="auto"/>
            </w:tcBorders>
          </w:tcPr>
          <w:p w14:paraId="03F25F9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044940A8"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14:paraId="51E47B0B"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46118D7D" w14:textId="77777777"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2A6DD080" w14:textId="77777777"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other than as permitted by </w:t>
            </w:r>
            <w:hyperlink r:id="rId25"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14:paraId="1BCEB122" w14:textId="77777777" w:rsidTr="002C249B">
        <w:trPr>
          <w:trHeight w:val="3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455125D8"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5525A8E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 xml:space="preserve">example provided. </w:t>
            </w:r>
          </w:p>
        </w:tc>
        <w:tc>
          <w:tcPr>
            <w:tcW w:w="609" w:type="pct"/>
            <w:gridSpan w:val="3"/>
            <w:tcBorders>
              <w:top w:val="outset" w:sz="6" w:space="0" w:color="auto"/>
              <w:left w:val="outset" w:sz="6" w:space="0" w:color="auto"/>
              <w:bottom w:val="outset" w:sz="6" w:space="0" w:color="auto"/>
              <w:right w:val="outset" w:sz="6" w:space="0" w:color="auto"/>
            </w:tcBorders>
          </w:tcPr>
          <w:p w14:paraId="20CEAE0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33F6BD7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21FD7241" w14:textId="77777777"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636E1C5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PO20</w:t>
            </w:r>
          </w:p>
          <w:p w14:paraId="1242689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infrastructure (excluding a road</w:t>
            </w:r>
            <w:r w:rsidR="002C249B">
              <w:rPr>
                <w:rFonts w:ascii="Arial" w:eastAsia="Times New Roman" w:hAnsi="Arial" w:cs="Arial"/>
                <w:sz w:val="20"/>
                <w:szCs w:val="20"/>
                <w:lang w:eastAsia="en-AU"/>
              </w:rPr>
              <w:t xml:space="preserve"> and stormwater drainage infrastructure</w:t>
            </w:r>
            <w:r w:rsidRPr="00A87D91">
              <w:rPr>
                <w:rFonts w:ascii="Arial" w:eastAsia="Times New Roman" w:hAnsi="Arial" w:cs="Arial"/>
                <w:sz w:val="20"/>
                <w:szCs w:val="20"/>
                <w:lang w:eastAsia="en-AU"/>
              </w:rPr>
              <w:t>):</w:t>
            </w:r>
          </w:p>
          <w:p w14:paraId="18B40031" w14:textId="77777777"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located outside of the High risk flood hazard area and Medium risk flood hazard area; or</w:t>
            </w:r>
          </w:p>
          <w:p w14:paraId="4C781145" w14:textId="77777777" w:rsidR="00603636"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otherwise located in the High risk flood hazard area or Medium risk flood hazard area to function during and after all flood hazard events up to and including the Defined Flood Event. </w:t>
            </w:r>
          </w:p>
          <w:p w14:paraId="353B6A1F" w14:textId="77777777" w:rsidR="002C249B" w:rsidRPr="00A87D91" w:rsidRDefault="002C249B" w:rsidP="002C249B">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A severe storm impact statement prepared in accordance with Appendix C of Planning Scheme Policy - Integrated Design may be required for infrastructure constructed in the High and Medium risk area.</w:t>
            </w: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362E9E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44B2FC35"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2182622F"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14:paraId="182BF22A"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1314DE8A"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22AA0D15" w14:textId="77777777"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20</w:t>
            </w:r>
          </w:p>
          <w:p w14:paraId="70C493E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14:paraId="406AE460" w14:textId="77777777"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any component of infrastructure which is likely to fail to function or may result in contamination when inundated by flood is located above the Flood planning level; or </w:t>
            </w:r>
          </w:p>
          <w:p w14:paraId="5FC82099" w14:textId="77777777"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infrastructure is designed, located and constructed to resist the hydrostatic and hydrodynamic forces as a result of inundation by the Defined Flood Event. </w:t>
            </w:r>
          </w:p>
        </w:tc>
        <w:tc>
          <w:tcPr>
            <w:tcW w:w="609" w:type="pct"/>
            <w:gridSpan w:val="3"/>
            <w:tcBorders>
              <w:top w:val="outset" w:sz="6" w:space="0" w:color="auto"/>
              <w:left w:val="outset" w:sz="6" w:space="0" w:color="auto"/>
              <w:bottom w:val="outset" w:sz="6" w:space="0" w:color="auto"/>
              <w:right w:val="outset" w:sz="6" w:space="0" w:color="auto"/>
            </w:tcBorders>
          </w:tcPr>
          <w:p w14:paraId="1B9772BD"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1C19786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1E84FCA8"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68F5EF53"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DEB3A9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04337ADE"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45FD391E"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14:paraId="1B494C34" w14:textId="77777777" w:rsidTr="002C249B">
        <w:trPr>
          <w:trHeight w:val="28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6EDD7AD1"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1BD903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14:paraId="2051BA2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7A5EA0B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442DB7AC" w14:textId="77777777"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65FD1CC3"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PO21</w:t>
            </w:r>
          </w:p>
          <w:p w14:paraId="3A4555A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Reconfiguring a lot does not result in:</w:t>
            </w:r>
          </w:p>
          <w:p w14:paraId="10F4E32F"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14:paraId="1DBC35ED"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14:paraId="586D933F"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14:paraId="7EB6C308"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14:paraId="4465005E"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14:paraId="71CBF6BA" w14:textId="77777777"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14:paraId="02A5FDAF" w14:textId="77777777" w:rsidTr="00357954">
              <w:trPr>
                <w:tblCellSpacing w:w="15" w:type="dxa"/>
              </w:trPr>
              <w:tc>
                <w:tcPr>
                  <w:tcW w:w="4530" w:type="dxa"/>
                  <w:vAlign w:val="center"/>
                  <w:hideMark/>
                </w:tcPr>
                <w:p w14:paraId="38C542F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14:paraId="3501C5CB"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200DBE7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lastRenderedPageBreak/>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4A508ACF"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0EEA0E27"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14:paraId="382B8EC5"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28EC2298"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05F7E449"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21</w:t>
            </w:r>
          </w:p>
          <w:p w14:paraId="11FD677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All earthworks are undertaken outside of the Defined Flood Event, or where required to regularise allotment shape, earthworks are undertaken in accordance with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14:paraId="4175FFE4"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6E69D40"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1A704C3D"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7A10F255"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72D8DC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29A40E17"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15BD4E44" w14:textId="77777777"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14:paraId="2384960B" w14:textId="77777777" w:rsidTr="002C249B">
        <w:trPr>
          <w:trHeight w:val="348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61298937"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1181E0A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3E93CF5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4787102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14:paraId="45DAEFA6" w14:textId="77777777"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307CFBF7" w14:textId="77777777"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works whether or not associated with a material change of use, building work or reconfiguring a lot</w:t>
            </w:r>
          </w:p>
        </w:tc>
      </w:tr>
      <w:tr w:rsidR="00FA3B2F" w:rsidRPr="00A87D91" w14:paraId="62DEF90D" w14:textId="77777777"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7B2880A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PO22</w:t>
            </w:r>
          </w:p>
          <w:p w14:paraId="5BDB8BB6" w14:textId="77777777"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works complies with the requirements of </w:t>
            </w:r>
            <w:hyperlink r:id="rId26"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14:paraId="108B9C43"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14:paraId="56F67355"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14:paraId="47B3582C"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14:paraId="464A7716"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14:paraId="31C75E6F"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increased flood inundation of surrounding properties;</w:t>
            </w:r>
          </w:p>
          <w:p w14:paraId="487EA130" w14:textId="77777777"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14:paraId="74BD8145" w14:textId="77777777" w:rsidTr="00357954">
              <w:trPr>
                <w:tblCellSpacing w:w="15" w:type="dxa"/>
              </w:trPr>
              <w:tc>
                <w:tcPr>
                  <w:tcW w:w="4530" w:type="dxa"/>
                  <w:vAlign w:val="center"/>
                  <w:hideMark/>
                </w:tcPr>
                <w:p w14:paraId="3CFA989D" w14:textId="77777777" w:rsidR="00603636" w:rsidRPr="00A87D91" w:rsidRDefault="00603636" w:rsidP="00A87D91">
                  <w:pPr>
                    <w:spacing w:after="0"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the Planning scheme policy Flood Hazard, Coastal Hazard and Overland Flow. </w:t>
                  </w:r>
                </w:p>
              </w:tc>
            </w:tr>
          </w:tbl>
          <w:p w14:paraId="251523C9"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370AA94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2F0C67F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09FDA63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14:paraId="06B20D39" w14:textId="77777777"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1F055CD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involving hazardous chemicals</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2BC753E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18EAE724"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065EADBE" w14:textId="77777777"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77B1FF9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PO23</w:t>
            </w:r>
          </w:p>
          <w:p w14:paraId="02A6894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hazardous chemicals are not located or stored in the High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14:paraId="49ECA7A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16E99DF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1B5E292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53C22C80" w14:textId="77777777" w:rsidTr="002C249B">
        <w:trPr>
          <w:trHeight w:val="1649"/>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793C184E"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PO24</w:t>
            </w:r>
          </w:p>
          <w:p w14:paraId="117D50B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not in the High risk area ensures that public safety and risk to the environment are not adversely affected by a detrimental impact of floodwaters up to the Defined Flood Event on a hazardous chemical located or stored on the premises. </w:t>
            </w:r>
          </w:p>
        </w:tc>
        <w:tc>
          <w:tcPr>
            <w:tcW w:w="1714" w:type="pct"/>
            <w:gridSpan w:val="3"/>
            <w:tcBorders>
              <w:top w:val="outset" w:sz="6" w:space="0" w:color="auto"/>
              <w:left w:val="outset" w:sz="6" w:space="0" w:color="auto"/>
              <w:bottom w:val="outset" w:sz="6" w:space="0" w:color="auto"/>
              <w:right w:val="outset" w:sz="6" w:space="0" w:color="auto"/>
            </w:tcBorders>
            <w:hideMark/>
          </w:tcPr>
          <w:p w14:paraId="0F8E3102"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24</w:t>
            </w:r>
          </w:p>
          <w:p w14:paraId="5CFAD9D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2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14:paraId="6A86F639" w14:textId="77777777" w:rsidTr="00357954">
              <w:trPr>
                <w:tblCellSpacing w:w="15" w:type="dxa"/>
              </w:trPr>
              <w:tc>
                <w:tcPr>
                  <w:tcW w:w="6042" w:type="dxa"/>
                  <w:vAlign w:val="center"/>
                  <w:hideMark/>
                </w:tcPr>
                <w:p w14:paraId="1E84DFB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for requirements related to the manufacture and storage of hazardous substances.</w:t>
                  </w:r>
                </w:p>
              </w:tc>
            </w:tr>
          </w:tbl>
          <w:p w14:paraId="56A0CFE2"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14:paraId="7253EF82"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19184956"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7AB06A91" w14:textId="77777777"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5B32168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community infrastructure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2B97CFD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7A0DB39C"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14:paraId="10C54CF6" w14:textId="77777777"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5CF5497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PO25</w:t>
            </w:r>
          </w:p>
          <w:p w14:paraId="49103FC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is not located in the High risk flood hazard area or Medium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14:paraId="0F6AD40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 provided</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14:paraId="10553FF4"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31832F9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14:paraId="5131FE8C" w14:textId="77777777" w:rsidTr="002C249B">
        <w:trPr>
          <w:trHeight w:val="31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14:paraId="7C26271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PO26</w:t>
            </w:r>
          </w:p>
          <w:p w14:paraId="5EB5D61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not located in the High risk area or Medium risk area:</w:t>
            </w:r>
          </w:p>
          <w:p w14:paraId="00E360F7" w14:textId="77777777"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remains functional to serve community needs during and immediately after the Defined Flood Event;</w:t>
            </w:r>
          </w:p>
          <w:p w14:paraId="2E0B9C14" w14:textId="77777777"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sited and operated to avoid adverse impacts on the community or the environment due to the impacts of flood inundation on infrastructure, facilities or access and egress routes; </w:t>
            </w:r>
          </w:p>
          <w:p w14:paraId="0E6F7586" w14:textId="77777777"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retains essential site access during the Defined Flood Event;</w:t>
            </w:r>
          </w:p>
          <w:p w14:paraId="64FC54E1" w14:textId="77777777"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able to remain functional even when other infrastructure or services may be compromised in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14:paraId="3F5130F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14:paraId="28D04135"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5862610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14:paraId="37AB6205" w14:textId="77777777"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14:paraId="05FF1E00"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of premises subject to a drainage master plan</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14:paraId="272E910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14:paraId="407DDD9B"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14:paraId="11FC10CD" w14:textId="77777777"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14:paraId="44DC2412" w14:textId="77777777"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PO27</w:t>
            </w:r>
          </w:p>
          <w:p w14:paraId="4C60A09A" w14:textId="77777777"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the General residential zone – Next generation neighbourhood precinct or General residential zone – Urban neighbourhood precinct located in a Drainage investigation area identified on Figures 8.2.2.1 to 8.2.2.10 is supported by drainage works and specific building design responses to mitigate the risk posed by the flood hazard.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35377F" w:rsidRPr="00A87D91" w14:paraId="69C7F0CB" w14:textId="77777777" w:rsidTr="00357954">
              <w:trPr>
                <w:tblCellSpacing w:w="15" w:type="dxa"/>
              </w:trPr>
              <w:tc>
                <w:tcPr>
                  <w:tcW w:w="4530" w:type="dxa"/>
                  <w:vAlign w:val="center"/>
                  <w:hideMark/>
                </w:tcPr>
                <w:p w14:paraId="31FE1A86" w14:textId="77777777" w:rsidR="0035377F" w:rsidRPr="008E6513" w:rsidRDefault="0035377F"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w:t>
                  </w:r>
                  <w:r w:rsidRPr="008E6513">
                    <w:rPr>
                      <w:rFonts w:ascii="Arial" w:eastAsia="Times New Roman" w:hAnsi="Arial" w:cs="Arial"/>
                      <w:sz w:val="18"/>
                      <w:szCs w:val="20"/>
                      <w:lang w:eastAsia="en-AU"/>
                    </w:rPr>
                    <w:lastRenderedPageBreak/>
                    <w:t xml:space="preserve">preparation of a drainage master plan, or similar, for the Drainage Investigation Area. </w:t>
                  </w:r>
                </w:p>
                <w:p w14:paraId="7C4C53B4"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1734161B"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4440CB12"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04BB5366"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217B2C13"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0D569B57"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4E920231" w14:textId="77777777"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14:paraId="526AE45F" w14:textId="77777777" w:rsidR="000970E8" w:rsidRPr="00A87D91" w:rsidRDefault="000970E8" w:rsidP="00A87D91">
                  <w:pPr>
                    <w:spacing w:before="100" w:beforeAutospacing="1" w:after="100" w:afterAutospacing="1" w:line="240" w:lineRule="auto"/>
                    <w:rPr>
                      <w:rFonts w:ascii="Arial" w:eastAsia="Times New Roman" w:hAnsi="Arial" w:cs="Arial"/>
                      <w:sz w:val="20"/>
                      <w:szCs w:val="20"/>
                      <w:lang w:eastAsia="en-AU"/>
                    </w:rPr>
                  </w:pPr>
                </w:p>
              </w:tc>
            </w:tr>
          </w:tbl>
          <w:p w14:paraId="366D853F" w14:textId="77777777"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229D9223" w14:textId="77777777"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lastRenderedPageBreak/>
              <w:t>If the Council has an adopted drainage master plan for the Drainage master plan area</w:t>
            </w:r>
          </w:p>
        </w:tc>
      </w:tr>
      <w:tr w:rsidR="00FA3B2F" w:rsidRPr="00A87D91" w14:paraId="222191B8" w14:textId="77777777" w:rsidTr="002C249B">
        <w:trPr>
          <w:trHeight w:val="261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0E1D31E9"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11107C48"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27.1</w:t>
            </w:r>
          </w:p>
          <w:p w14:paraId="407C9851"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14:paraId="06EC442E" w14:textId="77777777"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14:paraId="310049A4" w14:textId="77777777"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drainage master plan in the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14:paraId="7315E38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29C5BE48"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14:paraId="323C43F6" w14:textId="77777777"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7CE01735" w14:textId="77777777"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3BE74484" w14:textId="77777777"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does not have an adopted drainage master plan for the Drainage investigation area</w:t>
            </w:r>
          </w:p>
        </w:tc>
      </w:tr>
      <w:tr w:rsidR="00FA3B2F" w:rsidRPr="00A87D91" w14:paraId="54BB92FB" w14:textId="77777777" w:rsidTr="002C249B">
        <w:trPr>
          <w:trHeight w:val="433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14:paraId="4D07FD32"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14:paraId="46895648"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27.2</w:t>
            </w:r>
          </w:p>
          <w:p w14:paraId="1DBFF04F"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14:paraId="6772CC9B" w14:textId="77777777"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occurs in accordance with a drainage master plan prepared by an applicant and approved by the Council;</w:t>
            </w:r>
          </w:p>
          <w:p w14:paraId="3A204235" w14:textId="77777777"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14:paraId="0298B450" w14:textId="77777777"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approved drainage master plan.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14:paraId="30955D36" w14:textId="77777777" w:rsidTr="00357954">
              <w:trPr>
                <w:tblCellSpacing w:w="15" w:type="dxa"/>
              </w:trPr>
              <w:tc>
                <w:tcPr>
                  <w:tcW w:w="6042" w:type="dxa"/>
                  <w:vAlign w:val="center"/>
                  <w:hideMark/>
                </w:tcPr>
                <w:p w14:paraId="374A185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preparation of a drainage master plan. </w:t>
                  </w:r>
                </w:p>
              </w:tc>
            </w:tr>
          </w:tbl>
          <w:p w14:paraId="6D25BEA6"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14:paraId="5C0FE4EF"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14:paraId="68CE7DC3"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1356ED76" w14:textId="77777777" w:rsidTr="008E6513">
        <w:trPr>
          <w:trHeight w:val="2061"/>
          <w:tblCellSpacing w:w="15" w:type="dxa"/>
        </w:trPr>
        <w:tc>
          <w:tcPr>
            <w:tcW w:w="1588" w:type="pct"/>
            <w:tcBorders>
              <w:top w:val="outset" w:sz="6" w:space="0" w:color="auto"/>
              <w:left w:val="outset" w:sz="6" w:space="0" w:color="auto"/>
              <w:bottom w:val="outset" w:sz="6" w:space="0" w:color="auto"/>
              <w:right w:val="outset" w:sz="6" w:space="0" w:color="auto"/>
            </w:tcBorders>
            <w:hideMark/>
          </w:tcPr>
          <w:p w14:paraId="3B028BAA"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PO28</w:t>
            </w:r>
          </w:p>
          <w:p w14:paraId="6BB4C27C"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General residential zone – Next generation neighbourhood precinct or General residential zone – Urban neighbourhood precinct located in a Drainage investigation area identified on Figures 8.2.2.1 to 8.2.2.10 must ensure that the land is filled: </w:t>
            </w:r>
          </w:p>
          <w:p w14:paraId="10960510" w14:textId="77777777"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where there is an adopted drainage master plan, in accordance with the levels in the drainage master plan;</w:t>
            </w:r>
          </w:p>
          <w:p w14:paraId="664CED95" w14:textId="77777777"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where there is no adopted drainage master plan, in accordance with the fill requirements in </w:t>
            </w:r>
            <w:hyperlink r:id="rId28"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or such that the filling of the land does not: </w:t>
            </w:r>
          </w:p>
          <w:p w14:paraId="304364DE" w14:textId="77777777"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14:paraId="2481562B" w14:textId="77777777"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w:t>
            </w:r>
            <w:r w:rsidRPr="00A87D91">
              <w:rPr>
                <w:rFonts w:ascii="Arial" w:eastAsia="Times New Roman" w:hAnsi="Arial" w:cs="Arial"/>
                <w:sz w:val="20"/>
                <w:szCs w:val="20"/>
                <w:lang w:eastAsia="en-AU"/>
              </w:rPr>
              <w:lastRenderedPageBreak/>
              <w:t xml:space="preserve">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603636" w:rsidRPr="00A87D91" w14:paraId="19485F5A" w14:textId="77777777" w:rsidTr="00357954">
              <w:trPr>
                <w:tblCellSpacing w:w="15" w:type="dxa"/>
              </w:trPr>
              <w:tc>
                <w:tcPr>
                  <w:tcW w:w="4530" w:type="dxa"/>
                  <w:vAlign w:val="center"/>
                  <w:hideMark/>
                </w:tcPr>
                <w:p w14:paraId="10D367F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14:paraId="087EB366" w14:textId="77777777" w:rsidR="00603636" w:rsidRPr="00A87D91" w:rsidRDefault="00603636" w:rsidP="00A87D91">
            <w:pPr>
              <w:spacing w:after="0" w:line="240" w:lineRule="auto"/>
              <w:rPr>
                <w:rFonts w:ascii="Arial" w:eastAsia="Times New Roman" w:hAnsi="Arial" w:cs="Arial"/>
                <w:sz w:val="20"/>
                <w:szCs w:val="20"/>
                <w:lang w:eastAsia="en-AU"/>
              </w:rPr>
            </w:pPr>
          </w:p>
        </w:tc>
        <w:tc>
          <w:tcPr>
            <w:tcW w:w="1635" w:type="pct"/>
            <w:gridSpan w:val="3"/>
            <w:tcBorders>
              <w:top w:val="outset" w:sz="6" w:space="0" w:color="auto"/>
              <w:left w:val="outset" w:sz="6" w:space="0" w:color="auto"/>
              <w:bottom w:val="outset" w:sz="6" w:space="0" w:color="auto"/>
              <w:right w:val="outset" w:sz="6" w:space="0" w:color="auto"/>
            </w:tcBorders>
            <w:hideMark/>
          </w:tcPr>
          <w:p w14:paraId="7FB51044"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28</w:t>
            </w:r>
          </w:p>
          <w:p w14:paraId="603DF417"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14:paraId="43CA0C1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14:paraId="393DCFBA"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59D55696" w14:textId="77777777" w:rsidTr="002C249B">
        <w:trPr>
          <w:tblCellSpacing w:w="15" w:type="dxa"/>
        </w:trPr>
        <w:tc>
          <w:tcPr>
            <w:tcW w:w="323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08E08802"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a Park</w:t>
            </w:r>
            <w:r w:rsidRPr="00A87D91">
              <w:rPr>
                <w:rFonts w:ascii="Arial" w:eastAsia="Times New Roman" w:hAnsi="Arial" w:cs="Arial"/>
                <w:b/>
                <w:bCs/>
                <w:sz w:val="20"/>
                <w:szCs w:val="20"/>
                <w:vertAlign w:val="superscript"/>
                <w:lang w:eastAsia="en-AU"/>
              </w:rPr>
              <w:t>(</w:t>
            </w:r>
            <w:hyperlink r:id="rId29"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b/>
                  <w:bCs/>
                  <w:color w:val="0000FF"/>
                  <w:sz w:val="20"/>
                  <w:szCs w:val="20"/>
                  <w:u w:val="single"/>
                  <w:vertAlign w:val="superscript"/>
                  <w:lang w:eastAsia="en-AU"/>
                </w:rPr>
                <w:t>57</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14:paraId="28CE7AC9"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shd w:val="clear" w:color="auto" w:fill="CCCCCC"/>
          </w:tcPr>
          <w:p w14:paraId="1449447E"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2959F92E" w14:textId="77777777" w:rsidTr="002C249B">
        <w:trPr>
          <w:trHeight w:val="373"/>
          <w:tblCellSpacing w:w="15" w:type="dxa"/>
        </w:trPr>
        <w:tc>
          <w:tcPr>
            <w:tcW w:w="1588" w:type="pct"/>
            <w:tcBorders>
              <w:top w:val="outset" w:sz="6" w:space="0" w:color="auto"/>
              <w:left w:val="outset" w:sz="6" w:space="0" w:color="auto"/>
              <w:bottom w:val="outset" w:sz="6" w:space="0" w:color="auto"/>
              <w:right w:val="outset" w:sz="6" w:space="0" w:color="auto"/>
            </w:tcBorders>
            <w:hideMark/>
          </w:tcPr>
          <w:p w14:paraId="686796E6"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PO29</w:t>
            </w:r>
          </w:p>
          <w:p w14:paraId="6914F0A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0"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that the design and layout responds to the nature of the flood hazard affecting the premises in order to: </w:t>
            </w:r>
          </w:p>
          <w:p w14:paraId="63616DF1" w14:textId="77777777"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maximise public benefit and enjoyment;</w:t>
            </w:r>
          </w:p>
          <w:p w14:paraId="2BC39BA1" w14:textId="77777777"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impacts on the asset life and integrity of park</w:t>
            </w:r>
            <w:r w:rsidRPr="00A87D91">
              <w:rPr>
                <w:rFonts w:ascii="Arial" w:eastAsia="Times New Roman" w:hAnsi="Arial" w:cs="Arial"/>
                <w:sz w:val="20"/>
                <w:szCs w:val="20"/>
                <w:vertAlign w:val="superscript"/>
                <w:lang w:eastAsia="en-AU"/>
              </w:rPr>
              <w:t>(</w:t>
            </w:r>
            <w:hyperlink r:id="rId31"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structures; </w:t>
            </w:r>
          </w:p>
          <w:p w14:paraId="0A364A9B" w14:textId="77777777"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maintenance and replacement costs.</w:t>
            </w:r>
          </w:p>
        </w:tc>
        <w:tc>
          <w:tcPr>
            <w:tcW w:w="1635" w:type="pct"/>
            <w:gridSpan w:val="3"/>
            <w:tcBorders>
              <w:top w:val="outset" w:sz="6" w:space="0" w:color="auto"/>
              <w:left w:val="outset" w:sz="6" w:space="0" w:color="auto"/>
              <w:bottom w:val="outset" w:sz="6" w:space="0" w:color="auto"/>
              <w:right w:val="outset" w:sz="6" w:space="0" w:color="auto"/>
            </w:tcBorders>
            <w:hideMark/>
          </w:tcPr>
          <w:p w14:paraId="5FD8CAFD" w14:textId="77777777"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29</w:t>
            </w:r>
          </w:p>
          <w:p w14:paraId="1AF02BF9"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2"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works are provided in accordance with the requirements set out in Appendix B of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14:paraId="0AD39DB1"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14:paraId="7355458C" w14:textId="77777777"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14:paraId="0B1278DD" w14:textId="77777777"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14:paraId="7BB93425" w14:textId="77777777"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material change of use for Permanent plantation</w:t>
            </w:r>
            <w:r w:rsidRPr="00A87D91">
              <w:rPr>
                <w:rFonts w:ascii="Arial" w:eastAsia="Times New Roman" w:hAnsi="Arial" w:cs="Arial"/>
                <w:b/>
                <w:bCs/>
                <w:sz w:val="20"/>
                <w:szCs w:val="20"/>
                <w:vertAlign w:val="superscript"/>
                <w:lang w:eastAsia="en-AU"/>
              </w:rPr>
              <w:t>(</w:t>
            </w:r>
            <w:hyperlink r:id="rId33" w:anchor="target-d60515e492485" w:tooltip="Permanent plantation - Premises used for growing plants not intended to be harvested." w:history="1">
              <w:r w:rsidRPr="00A87D91">
                <w:rPr>
                  <w:rFonts w:ascii="Arial" w:eastAsia="Times New Roman" w:hAnsi="Arial" w:cs="Arial"/>
                  <w:b/>
                  <w:bCs/>
                  <w:color w:val="0000FF"/>
                  <w:sz w:val="20"/>
                  <w:szCs w:val="20"/>
                  <w:u w:val="single"/>
                  <w:vertAlign w:val="superscript"/>
                  <w:lang w:eastAsia="en-AU"/>
                </w:rPr>
                <w:t>59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or Cropping</w:t>
            </w:r>
            <w:r w:rsidRPr="00A87D91">
              <w:rPr>
                <w:rFonts w:ascii="Arial" w:eastAsia="Times New Roman" w:hAnsi="Arial" w:cs="Arial"/>
                <w:b/>
                <w:bCs/>
                <w:sz w:val="20"/>
                <w:szCs w:val="20"/>
                <w:vertAlign w:val="superscript"/>
                <w:lang w:eastAsia="en-AU"/>
              </w:rPr>
              <w:t>(</w:t>
            </w:r>
            <w:hyperlink r:id="rId34" w:anchor="target-d60515e491505"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A87D91">
                <w:rPr>
                  <w:rFonts w:ascii="Arial" w:eastAsia="Times New Roman" w:hAnsi="Arial" w:cs="Arial"/>
                  <w:b/>
                  <w:bCs/>
                  <w:color w:val="0000FF"/>
                  <w:sz w:val="20"/>
                  <w:szCs w:val="20"/>
                  <w:u w:val="single"/>
                  <w:vertAlign w:val="superscript"/>
                  <w:lang w:eastAsia="en-AU"/>
                </w:rPr>
                <w:t>19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(where involving forestry for wood production)</w:t>
            </w:r>
          </w:p>
        </w:tc>
      </w:tr>
      <w:tr w:rsidR="00BB3E2F" w:rsidRPr="00A87D91" w14:paraId="08F4F640" w14:textId="77777777" w:rsidTr="002C249B">
        <w:trPr>
          <w:trHeight w:val="1425"/>
          <w:tblCellSpacing w:w="15" w:type="dxa"/>
        </w:trPr>
        <w:tc>
          <w:tcPr>
            <w:tcW w:w="1588" w:type="pct"/>
            <w:tcBorders>
              <w:top w:val="outset" w:sz="6" w:space="0" w:color="auto"/>
              <w:left w:val="outset" w:sz="6" w:space="0" w:color="auto"/>
              <w:bottom w:val="outset" w:sz="6" w:space="0" w:color="auto"/>
              <w:right w:val="outset" w:sz="6" w:space="0" w:color="auto"/>
            </w:tcBorders>
            <w:hideMark/>
          </w:tcPr>
          <w:p w14:paraId="5EB36ED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PO30</w:t>
            </w:r>
          </w:p>
          <w:p w14:paraId="24B0A6B8"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14:paraId="27F8AE8C" w14:textId="77777777"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adopts management practices to minimise release of woody debris load into floodwaters during flood events up to the Defined Flood Event; </w:t>
            </w:r>
          </w:p>
          <w:p w14:paraId="0A4CF233" w14:textId="77777777"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complies with other relevant environmental setbacks and requirements.</w:t>
            </w:r>
          </w:p>
        </w:tc>
        <w:tc>
          <w:tcPr>
            <w:tcW w:w="1635" w:type="pct"/>
            <w:gridSpan w:val="3"/>
            <w:tcBorders>
              <w:top w:val="outset" w:sz="6" w:space="0" w:color="auto"/>
              <w:left w:val="outset" w:sz="6" w:space="0" w:color="auto"/>
              <w:bottom w:val="outset" w:sz="6" w:space="0" w:color="auto"/>
              <w:right w:val="outset" w:sz="6" w:space="0" w:color="auto"/>
            </w:tcBorders>
            <w:hideMark/>
          </w:tcPr>
          <w:p w14:paraId="44F450FD"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14:paraId="6BD3D82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14:paraId="3918D6CB" w14:textId="77777777"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bl>
    <w:p w14:paraId="3897BA2F" w14:textId="77777777" w:rsidR="00BB3E2F" w:rsidRDefault="00BB3E2F"/>
    <w:p w14:paraId="2FCE7B1C" w14:textId="77777777" w:rsidR="00BB3E2F" w:rsidRDefault="00BB3E2F">
      <w:r>
        <w:br w:type="page"/>
      </w:r>
    </w:p>
    <w:p w14:paraId="1F55B971" w14:textId="77777777" w:rsidR="00357954" w:rsidRDefault="00357954"/>
    <w:tbl>
      <w:tblPr>
        <w:tblW w:w="4955" w:type="pct"/>
        <w:tblCellSpacing w:w="15" w:type="dxa"/>
        <w:tblInd w:w="8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827"/>
        <w:gridCol w:w="2219"/>
        <w:gridCol w:w="5213"/>
      </w:tblGrid>
      <w:tr w:rsidR="00357954" w:rsidRPr="00A87D91" w14:paraId="45ABE986" w14:textId="77777777" w:rsidTr="00357954">
        <w:trPr>
          <w:tblCellSpacing w:w="15" w:type="dxa"/>
        </w:trPr>
        <w:tc>
          <w:tcPr>
            <w:tcW w:w="4980" w:type="pct"/>
            <w:gridSpan w:val="3"/>
            <w:tcBorders>
              <w:top w:val="nil"/>
              <w:left w:val="nil"/>
              <w:bottom w:val="nil"/>
              <w:right w:val="nil"/>
            </w:tcBorders>
            <w:shd w:val="clear" w:color="auto" w:fill="CCCCCC"/>
            <w:vAlign w:val="center"/>
            <w:hideMark/>
          </w:tcPr>
          <w:p w14:paraId="36B7D67A" w14:textId="77777777" w:rsidR="00357954" w:rsidRPr="00A87D91" w:rsidRDefault="00357954" w:rsidP="00A87D91">
            <w:pPr>
              <w:spacing w:after="0"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Table 8.2.2.3 Flood planning level for a habitable floor (residential development) and a non-habitable floor (non-residential development) and levels for hazardous chemicals</w:t>
            </w:r>
          </w:p>
        </w:tc>
      </w:tr>
      <w:tr w:rsidR="00357954" w:rsidRPr="00A87D91" w14:paraId="5705B809" w14:textId="77777777" w:rsidTr="00357954">
        <w:trPr>
          <w:tblCellSpacing w:w="15" w:type="dxa"/>
        </w:trPr>
        <w:tc>
          <w:tcPr>
            <w:tcW w:w="256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6F2AA666" w14:textId="77777777"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72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23E8666" w14:textId="77777777"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Defined freeboard</w:t>
            </w:r>
          </w:p>
        </w:tc>
        <w:tc>
          <w:tcPr>
            <w:tcW w:w="1681"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43B6CDE6" w14:textId="77777777"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level</w:t>
            </w:r>
          </w:p>
        </w:tc>
      </w:tr>
      <w:tr w:rsidR="00357954" w:rsidRPr="00A87D91" w14:paraId="1FAF10C1" w14:textId="77777777"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14:paraId="1172160D" w14:textId="77777777"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inside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14:paraId="60C4AFF6"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500mm</w:t>
            </w:r>
          </w:p>
        </w:tc>
        <w:tc>
          <w:tcPr>
            <w:tcW w:w="1681" w:type="pct"/>
            <w:tcBorders>
              <w:top w:val="outset" w:sz="6" w:space="0" w:color="auto"/>
              <w:left w:val="outset" w:sz="6" w:space="0" w:color="auto"/>
              <w:bottom w:val="outset" w:sz="6" w:space="0" w:color="auto"/>
              <w:right w:val="outset" w:sz="6" w:space="0" w:color="auto"/>
            </w:tcBorders>
            <w:hideMark/>
          </w:tcPr>
          <w:p w14:paraId="749F55E4"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+ 500mm</w:t>
            </w:r>
          </w:p>
        </w:tc>
      </w:tr>
      <w:tr w:rsidR="00357954" w:rsidRPr="00A87D91" w14:paraId="5941F9E1" w14:textId="77777777"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14:paraId="1A227895" w14:textId="77777777"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outside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14:paraId="3778B602"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300mm</w:t>
            </w:r>
          </w:p>
        </w:tc>
        <w:tc>
          <w:tcPr>
            <w:tcW w:w="1681" w:type="pct"/>
            <w:tcBorders>
              <w:top w:val="outset" w:sz="6" w:space="0" w:color="auto"/>
              <w:left w:val="outset" w:sz="6" w:space="0" w:color="auto"/>
              <w:bottom w:val="outset" w:sz="6" w:space="0" w:color="auto"/>
              <w:right w:val="outset" w:sz="6" w:space="0" w:color="auto"/>
            </w:tcBorders>
            <w:hideMark/>
          </w:tcPr>
          <w:p w14:paraId="2CEB4850"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+ 300mm</w:t>
            </w:r>
          </w:p>
        </w:tc>
      </w:tr>
      <w:tr w:rsidR="00357954" w:rsidRPr="00A87D91" w14:paraId="490BFCA4" w14:textId="77777777"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14:paraId="531C1E41" w14:textId="77777777"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(west of the Bruce Highway)</w:t>
            </w:r>
          </w:p>
        </w:tc>
        <w:tc>
          <w:tcPr>
            <w:tcW w:w="720" w:type="pct"/>
            <w:tcBorders>
              <w:top w:val="outset" w:sz="6" w:space="0" w:color="auto"/>
              <w:left w:val="outset" w:sz="6" w:space="0" w:color="auto"/>
              <w:bottom w:val="outset" w:sz="6" w:space="0" w:color="auto"/>
              <w:right w:val="outset" w:sz="6" w:space="0" w:color="auto"/>
            </w:tcBorders>
            <w:hideMark/>
          </w:tcPr>
          <w:p w14:paraId="78C18491"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750mm</w:t>
            </w:r>
          </w:p>
        </w:tc>
        <w:tc>
          <w:tcPr>
            <w:tcW w:w="1681" w:type="pct"/>
            <w:tcBorders>
              <w:top w:val="outset" w:sz="6" w:space="0" w:color="auto"/>
              <w:left w:val="outset" w:sz="6" w:space="0" w:color="auto"/>
              <w:bottom w:val="outset" w:sz="6" w:space="0" w:color="auto"/>
              <w:right w:val="outset" w:sz="6" w:space="0" w:color="auto"/>
            </w:tcBorders>
            <w:hideMark/>
          </w:tcPr>
          <w:p w14:paraId="3307B087" w14:textId="77777777"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+ 750mm</w:t>
            </w:r>
          </w:p>
        </w:tc>
      </w:tr>
    </w:tbl>
    <w:p w14:paraId="6BE7F1FF" w14:textId="77777777" w:rsidR="00A87D91" w:rsidRPr="00A87D91" w:rsidRDefault="00A87D91" w:rsidP="00A87D91">
      <w:pPr>
        <w:spacing w:after="0" w:line="240" w:lineRule="auto"/>
        <w:rPr>
          <w:rFonts w:ascii="Arial" w:eastAsia="Times New Roman" w:hAnsi="Arial" w:cs="Arial"/>
          <w:vanish/>
          <w:sz w:val="20"/>
          <w:szCs w:val="20"/>
          <w:lang w:eastAsia="en-AU"/>
        </w:rPr>
      </w:pP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5383"/>
      </w:tblGrid>
      <w:tr w:rsidR="00A87D91" w:rsidRPr="00A87D91" w14:paraId="5AB56DC9" w14:textId="77777777" w:rsidTr="00357954">
        <w:trPr>
          <w:tblCellSpacing w:w="15" w:type="dxa"/>
        </w:trPr>
        <w:tc>
          <w:tcPr>
            <w:tcW w:w="0" w:type="auto"/>
            <w:vAlign w:val="center"/>
            <w:hideMark/>
          </w:tcPr>
          <w:p w14:paraId="3C3BBC59"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14:paraId="7D418E7C" w14:textId="77777777" w:rsidR="00357954" w:rsidRDefault="00357954"/>
    <w:tbl>
      <w:tblPr>
        <w:tblW w:w="4956" w:type="pct"/>
        <w:tblCellSpacing w:w="15" w:type="dxa"/>
        <w:tblInd w:w="6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07"/>
        <w:gridCol w:w="7555"/>
      </w:tblGrid>
      <w:tr w:rsidR="00A87D91" w:rsidRPr="00A87D91" w14:paraId="53C2E19A" w14:textId="77777777" w:rsidTr="00CF0EC7">
        <w:trPr>
          <w:tblCellSpacing w:w="15" w:type="dxa"/>
        </w:trPr>
        <w:tc>
          <w:tcPr>
            <w:tcW w:w="0" w:type="auto"/>
            <w:gridSpan w:val="2"/>
            <w:tcBorders>
              <w:top w:val="nil"/>
              <w:left w:val="nil"/>
              <w:bottom w:val="nil"/>
              <w:right w:val="nil"/>
            </w:tcBorders>
            <w:shd w:val="clear" w:color="auto" w:fill="CCCCCC"/>
            <w:vAlign w:val="center"/>
            <w:hideMark/>
          </w:tcPr>
          <w:p w14:paraId="57041C6A" w14:textId="77777777"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8.2.2.4 Fill Requirements</w:t>
            </w:r>
          </w:p>
        </w:tc>
      </w:tr>
      <w:tr w:rsidR="00A87D91" w:rsidRPr="00A87D91" w14:paraId="43081B2A" w14:textId="77777777" w:rsidTr="00CF0EC7">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7655BBA4" w14:textId="77777777"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14:paraId="520C7598" w14:textId="77777777"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Fill level</w:t>
            </w:r>
          </w:p>
        </w:tc>
      </w:tr>
      <w:tr w:rsidR="00A87D91" w:rsidRPr="00A87D91" w14:paraId="16E1CB3E" w14:textId="77777777" w:rsidTr="008E6513">
        <w:trPr>
          <w:trHeight w:val="621"/>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2906F705"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0B3F4FB7"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14:paraId="3DA07DA7" w14:textId="77777777" w:rsidTr="008E6513">
        <w:trPr>
          <w:trHeight w:val="730"/>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6F3EBFFE"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14:paraId="5558757F" w14:textId="77777777"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A87D91" w:rsidRPr="00A87D91" w14:paraId="39D002AB" w14:textId="77777777" w:rsidTr="008E6513">
        <w:trPr>
          <w:trHeight w:val="728"/>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51013474"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14:paraId="3646163D" w14:textId="77777777"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0970E8" w:rsidRPr="00A87D91" w14:paraId="4DA509CC" w14:textId="77777777" w:rsidTr="008E6513">
        <w:trPr>
          <w:trHeight w:val="726"/>
          <w:tblCellSpacing w:w="15" w:type="dxa"/>
        </w:trPr>
        <w:tc>
          <w:tcPr>
            <w:tcW w:w="2510" w:type="pct"/>
            <w:tcBorders>
              <w:top w:val="outset" w:sz="6" w:space="0" w:color="auto"/>
              <w:left w:val="outset" w:sz="6" w:space="0" w:color="auto"/>
              <w:bottom w:val="outset" w:sz="6" w:space="0" w:color="auto"/>
              <w:right w:val="outset" w:sz="6" w:space="0" w:color="auto"/>
            </w:tcBorders>
          </w:tcPr>
          <w:p w14:paraId="7C033229" w14:textId="77777777"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Land in the Medium risk area and in the Balance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planning area or Medium risk storm tide inundation area</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of the Coastal hazard overlay.</w:t>
            </w:r>
          </w:p>
        </w:tc>
        <w:tc>
          <w:tcPr>
            <w:tcW w:w="2460" w:type="pct"/>
            <w:tcBorders>
              <w:top w:val="outset" w:sz="6" w:space="0" w:color="auto"/>
              <w:left w:val="outset" w:sz="6" w:space="0" w:color="auto"/>
              <w:bottom w:val="outset" w:sz="6" w:space="0" w:color="auto"/>
              <w:right w:val="outset" w:sz="6" w:space="0" w:color="auto"/>
            </w:tcBorders>
          </w:tcPr>
          <w:p w14:paraId="21A83925" w14:textId="77777777"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 xml:space="preserve">As per Table 8.2.1.4 </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Fill requirements</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 xml:space="preserve"> of the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hazard overlay code.</w:t>
            </w:r>
          </w:p>
        </w:tc>
      </w:tr>
      <w:tr w:rsidR="00A87D91" w:rsidRPr="00A87D91" w14:paraId="0AB21267" w14:textId="77777777" w:rsidTr="008E6513">
        <w:trPr>
          <w:trHeight w:val="596"/>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4F75AA47"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14:paraId="70125775"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in accordance with the relevant adopted Drainage master plan.</w:t>
            </w:r>
          </w:p>
        </w:tc>
      </w:tr>
      <w:tr w:rsidR="00A87D91" w:rsidRPr="00A87D91" w14:paraId="5624B20B" w14:textId="77777777"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14:paraId="6C78A64C" w14:textId="77777777"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14:paraId="6B90AA3E" w14:textId="77777777" w:rsid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Filling permitted </w:t>
            </w:r>
            <w:r w:rsidR="000970E8" w:rsidRPr="000970E8">
              <w:rPr>
                <w:rFonts w:ascii="Arial" w:eastAsia="Times New Roman" w:hAnsi="Arial" w:cs="Arial"/>
                <w:sz w:val="20"/>
                <w:szCs w:val="20"/>
                <w:lang w:eastAsia="en-AU"/>
              </w:rPr>
              <w:t>as a minimum to the Flood planning</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level.</w:t>
            </w:r>
          </w:p>
          <w:p w14:paraId="27DFF773" w14:textId="77777777"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Note - </w:t>
            </w:r>
            <w:r w:rsidRPr="000970E8">
              <w:rPr>
                <w:rFonts w:ascii="Arial" w:eastAsia="Times New Roman" w:hAnsi="Arial" w:cs="Arial"/>
                <w:sz w:val="20"/>
                <w:szCs w:val="20"/>
                <w:lang w:eastAsia="en-AU"/>
              </w:rPr>
              <w:t>Earthworks required for the construction of a residential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driveway do not need to meet the minimum Flood planning level.</w:t>
            </w:r>
          </w:p>
        </w:tc>
      </w:tr>
    </w:tbl>
    <w:p w14:paraId="58CF43D6" w14:textId="77777777" w:rsidR="00CF0EC7" w:rsidRDefault="00CF0EC7" w:rsidP="00A87D91">
      <w:pPr>
        <w:spacing w:after="0" w:line="240" w:lineRule="auto"/>
        <w:rPr>
          <w:rFonts w:ascii="Arial" w:eastAsia="Times New Roman" w:hAnsi="Arial" w:cs="Arial"/>
          <w:b/>
          <w:bCs/>
          <w:sz w:val="20"/>
          <w:szCs w:val="20"/>
          <w:lang w:eastAsia="en-AU"/>
        </w:rPr>
      </w:pPr>
    </w:p>
    <w:p w14:paraId="226A3B8A" w14:textId="77777777" w:rsidR="00CF0EC7" w:rsidRDefault="00CF0EC7" w:rsidP="00A87D91">
      <w:pPr>
        <w:spacing w:after="0" w:line="240" w:lineRule="auto"/>
        <w:rPr>
          <w:rFonts w:ascii="Arial" w:eastAsia="Times New Roman" w:hAnsi="Arial" w:cs="Arial"/>
          <w:b/>
          <w:bCs/>
          <w:sz w:val="20"/>
          <w:szCs w:val="20"/>
          <w:lang w:eastAsia="en-AU"/>
        </w:rPr>
      </w:pPr>
    </w:p>
    <w:p w14:paraId="607AEBF5" w14:textId="77777777"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66BAF323" w14:textId="77777777"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8.2.2.1 - Albany Creek</w:t>
      </w:r>
    </w:p>
    <w:p w14:paraId="2D0E7D74" w14:textId="77777777"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lastRenderedPageBreak/>
        <w:drawing>
          <wp:inline distT="0" distB="0" distL="0" distR="0" wp14:anchorId="7BF64DD7" wp14:editId="33153E1F">
            <wp:extent cx="4397691" cy="6200382"/>
            <wp:effectExtent l="0" t="0" r="317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5767" cy="6211768"/>
                    </a:xfrm>
                    <a:prstGeom prst="rect">
                      <a:avLst/>
                    </a:prstGeom>
                    <a:noFill/>
                    <a:ln>
                      <a:noFill/>
                    </a:ln>
                  </pic:spPr>
                </pic:pic>
              </a:graphicData>
            </a:graphic>
          </wp:inline>
        </w:drawing>
      </w:r>
    </w:p>
    <w:p w14:paraId="1FEF88A9" w14:textId="77777777"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br w:type="page"/>
      </w:r>
    </w:p>
    <w:p w14:paraId="435A73BE" w14:textId="77777777"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8.2.2.2 - Clontarf</w:t>
      </w:r>
    </w:p>
    <w:p w14:paraId="00170A48" w14:textId="77777777" w:rsidR="00A87D91" w:rsidRPr="00A87D91" w:rsidRDefault="000970E8" w:rsidP="00CF0EC7">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14:anchorId="50FCFF68" wp14:editId="14DF11F3">
            <wp:extent cx="4442973" cy="6272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499" cy="6320117"/>
                    </a:xfrm>
                    <a:prstGeom prst="rect">
                      <a:avLst/>
                    </a:prstGeom>
                    <a:noFill/>
                    <a:ln>
                      <a:noFill/>
                    </a:ln>
                  </pic:spPr>
                </pic:pic>
              </a:graphicData>
            </a:graphic>
          </wp:inline>
        </w:drawing>
      </w:r>
    </w:p>
    <w:p w14:paraId="0EF21FDC"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8.2.2.3 - Woody Point</w:t>
      </w:r>
    </w:p>
    <w:p w14:paraId="79BCFB22" w14:textId="77777777"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14:anchorId="4CC05099" wp14:editId="08E0D5B4">
            <wp:extent cx="4398264" cy="6209663"/>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2783" cy="6216043"/>
                    </a:xfrm>
                    <a:prstGeom prst="rect">
                      <a:avLst/>
                    </a:prstGeom>
                    <a:noFill/>
                    <a:ln>
                      <a:noFill/>
                    </a:ln>
                  </pic:spPr>
                </pic:pic>
              </a:graphicData>
            </a:graphic>
          </wp:inline>
        </w:drawing>
      </w:r>
    </w:p>
    <w:p w14:paraId="61FB4865" w14:textId="77777777" w:rsidR="00A87D91" w:rsidRPr="00A87D91" w:rsidRDefault="00A87D91" w:rsidP="00A87D91">
      <w:pPr>
        <w:spacing w:after="240" w:line="240" w:lineRule="auto"/>
        <w:rPr>
          <w:rFonts w:ascii="Arial" w:eastAsia="Times New Roman" w:hAnsi="Arial" w:cs="Arial"/>
          <w:sz w:val="20"/>
          <w:szCs w:val="20"/>
          <w:lang w:eastAsia="en-AU"/>
        </w:rPr>
      </w:pPr>
    </w:p>
    <w:p w14:paraId="00153ADD"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8.2.2.4 - Margate</w:t>
      </w:r>
    </w:p>
    <w:p w14:paraId="497FE08A" w14:textId="77777777"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14:anchorId="3472FEE2" wp14:editId="3AA8E930">
            <wp:extent cx="4462402" cy="63002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901" cy="6307979"/>
                    </a:xfrm>
                    <a:prstGeom prst="rect">
                      <a:avLst/>
                    </a:prstGeom>
                    <a:noFill/>
                    <a:ln>
                      <a:noFill/>
                    </a:ln>
                  </pic:spPr>
                </pic:pic>
              </a:graphicData>
            </a:graphic>
          </wp:inline>
        </w:drawing>
      </w:r>
    </w:p>
    <w:p w14:paraId="49D5E713"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8.2.2.5 - Redcliffe - Scarborough</w:t>
      </w:r>
    </w:p>
    <w:p w14:paraId="2E0E9C52" w14:textId="77777777"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14:anchorId="7D069C0B" wp14:editId="019D4863">
            <wp:extent cx="4436495" cy="6263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0098" cy="6282846"/>
                    </a:xfrm>
                    <a:prstGeom prst="rect">
                      <a:avLst/>
                    </a:prstGeom>
                    <a:noFill/>
                    <a:ln>
                      <a:noFill/>
                    </a:ln>
                  </pic:spPr>
                </pic:pic>
              </a:graphicData>
            </a:graphic>
          </wp:inline>
        </w:drawing>
      </w:r>
    </w:p>
    <w:p w14:paraId="018FB628"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8.2.2.6 - Scarborough</w:t>
      </w:r>
    </w:p>
    <w:p w14:paraId="014BD123" w14:textId="77777777"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14:anchorId="09EEB125" wp14:editId="250E8E3E">
            <wp:extent cx="4423542" cy="6245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8850" cy="6252846"/>
                    </a:xfrm>
                    <a:prstGeom prst="rect">
                      <a:avLst/>
                    </a:prstGeom>
                    <a:noFill/>
                    <a:ln>
                      <a:noFill/>
                    </a:ln>
                  </pic:spPr>
                </pic:pic>
              </a:graphicData>
            </a:graphic>
          </wp:inline>
        </w:drawing>
      </w:r>
    </w:p>
    <w:p w14:paraId="54A2CC75" w14:textId="77777777" w:rsidR="00A87D91" w:rsidRPr="00A87D91" w:rsidRDefault="00A87D91" w:rsidP="00343624">
      <w:pPr>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8.2.2.7 - Rothwell</w:t>
      </w:r>
    </w:p>
    <w:p w14:paraId="048A984F"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14:anchorId="3A73AF89" wp14:editId="0321F626">
            <wp:extent cx="4288666" cy="6046663"/>
            <wp:effectExtent l="0" t="0" r="0"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778" cy="6059510"/>
                    </a:xfrm>
                    <a:prstGeom prst="rect">
                      <a:avLst/>
                    </a:prstGeom>
                    <a:noFill/>
                    <a:ln>
                      <a:noFill/>
                    </a:ln>
                  </pic:spPr>
                </pic:pic>
              </a:graphicData>
            </a:graphic>
          </wp:inline>
        </w:drawing>
      </w:r>
    </w:p>
    <w:p w14:paraId="5401B3DD" w14:textId="77777777" w:rsidR="00A87D91" w:rsidRPr="00A87D91" w:rsidRDefault="00A87D91" w:rsidP="00A87D91">
      <w:pPr>
        <w:spacing w:after="0" w:line="240" w:lineRule="auto"/>
        <w:rPr>
          <w:rFonts w:ascii="Arial" w:eastAsia="Times New Roman" w:hAnsi="Arial" w:cs="Arial"/>
          <w:sz w:val="20"/>
          <w:szCs w:val="20"/>
          <w:lang w:eastAsia="en-AU"/>
        </w:rPr>
      </w:pPr>
    </w:p>
    <w:p w14:paraId="605E02B8" w14:textId="77777777"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8.2.2.8 - Deception Bay</w:t>
      </w:r>
    </w:p>
    <w:p w14:paraId="119B3A18" w14:textId="77777777" w:rsidR="00A87D91" w:rsidRPr="00A87D91" w:rsidRDefault="00343624" w:rsidP="00A443E2">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lastRenderedPageBreak/>
        <w:drawing>
          <wp:inline distT="0" distB="0" distL="0" distR="0" wp14:anchorId="48ECC3A8" wp14:editId="3E1AD22F">
            <wp:extent cx="4343400" cy="61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9928" cy="6141421"/>
                    </a:xfrm>
                    <a:prstGeom prst="rect">
                      <a:avLst/>
                    </a:prstGeom>
                    <a:noFill/>
                    <a:ln>
                      <a:noFill/>
                    </a:ln>
                  </pic:spPr>
                </pic:pic>
              </a:graphicData>
            </a:graphic>
          </wp:inline>
        </w:drawing>
      </w:r>
    </w:p>
    <w:p w14:paraId="0B1057C1" w14:textId="77777777" w:rsidR="00A87D91" w:rsidRPr="00A87D91" w:rsidRDefault="00A87D91" w:rsidP="00A87D91">
      <w:pPr>
        <w:spacing w:after="0" w:line="240" w:lineRule="auto"/>
        <w:rPr>
          <w:rFonts w:ascii="Arial" w:eastAsia="Times New Roman" w:hAnsi="Arial" w:cs="Arial"/>
          <w:sz w:val="20"/>
          <w:szCs w:val="20"/>
          <w:lang w:eastAsia="en-AU"/>
        </w:rPr>
      </w:pPr>
    </w:p>
    <w:p w14:paraId="0D0340F6" w14:textId="77777777" w:rsidR="00A87D91" w:rsidRPr="00343624" w:rsidRDefault="00B04D4F" w:rsidP="00343624">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A87D91" w:rsidRPr="00A87D91">
        <w:rPr>
          <w:rFonts w:ascii="Arial" w:eastAsia="Times New Roman" w:hAnsi="Arial" w:cs="Arial"/>
          <w:b/>
          <w:bCs/>
          <w:sz w:val="20"/>
          <w:szCs w:val="20"/>
          <w:lang w:eastAsia="en-AU"/>
        </w:rPr>
        <w:lastRenderedPageBreak/>
        <w:t>Figure 8.2.2.9 - Burpengary</w:t>
      </w:r>
    </w:p>
    <w:p w14:paraId="50DFD989" w14:textId="77777777"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lastRenderedPageBreak/>
        <w:drawing>
          <wp:inline distT="0" distB="0" distL="0" distR="0" wp14:anchorId="25FE30DD" wp14:editId="23A55552">
            <wp:extent cx="4316902" cy="60864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9679" cy="6090390"/>
                    </a:xfrm>
                    <a:prstGeom prst="rect">
                      <a:avLst/>
                    </a:prstGeom>
                    <a:noFill/>
                    <a:ln>
                      <a:noFill/>
                    </a:ln>
                  </pic:spPr>
                </pic:pic>
              </a:graphicData>
            </a:graphic>
          </wp:inline>
        </w:drawing>
      </w:r>
    </w:p>
    <w:p w14:paraId="36A93124" w14:textId="77777777" w:rsidR="00A87D91" w:rsidRPr="00A87D91" w:rsidRDefault="00A87D91" w:rsidP="00A87D91">
      <w:pPr>
        <w:spacing w:after="240" w:line="240" w:lineRule="auto"/>
        <w:rPr>
          <w:rFonts w:ascii="Arial" w:eastAsia="Times New Roman" w:hAnsi="Arial" w:cs="Arial"/>
          <w:sz w:val="20"/>
          <w:szCs w:val="20"/>
          <w:lang w:eastAsia="en-AU"/>
        </w:rPr>
      </w:pPr>
    </w:p>
    <w:p w14:paraId="13CEF9CA" w14:textId="77777777" w:rsidR="00A87D91" w:rsidRPr="00A87D91" w:rsidRDefault="00A87D91" w:rsidP="00B04D4F">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A87D91">
        <w:rPr>
          <w:rFonts w:ascii="Arial" w:eastAsia="Times New Roman" w:hAnsi="Arial" w:cs="Arial"/>
          <w:b/>
          <w:bCs/>
          <w:sz w:val="20"/>
          <w:szCs w:val="20"/>
          <w:lang w:eastAsia="en-AU"/>
        </w:rPr>
        <w:lastRenderedPageBreak/>
        <w:t>Figure 8.2.2.10 - Caboolture</w:t>
      </w:r>
    </w:p>
    <w:p w14:paraId="06516758" w14:textId="77777777" w:rsidR="00A87D91" w:rsidRPr="00A87D91" w:rsidRDefault="00343624" w:rsidP="00B04D4F">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lastRenderedPageBreak/>
        <w:drawing>
          <wp:inline distT="0" distB="0" distL="0" distR="0" wp14:anchorId="18C6E5C3" wp14:editId="21691B72">
            <wp:extent cx="4352299" cy="6144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313" cy="6151848"/>
                    </a:xfrm>
                    <a:prstGeom prst="rect">
                      <a:avLst/>
                    </a:prstGeom>
                    <a:noFill/>
                    <a:ln>
                      <a:noFill/>
                    </a:ln>
                  </pic:spPr>
                </pic:pic>
              </a:graphicData>
            </a:graphic>
          </wp:inline>
        </w:drawing>
      </w:r>
    </w:p>
    <w:sectPr w:rsidR="00A87D91" w:rsidRPr="00A87D91" w:rsidSect="008E6513">
      <w:headerReference w:type="even" r:id="rId45"/>
      <w:headerReference w:type="default" r:id="rId46"/>
      <w:footerReference w:type="even" r:id="rId47"/>
      <w:footerReference w:type="default" r:id="rId48"/>
      <w:headerReference w:type="first" r:id="rId49"/>
      <w:footerReference w:type="first" r:id="rId5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50C54" w14:textId="77777777" w:rsidR="002303DA" w:rsidRDefault="002303DA" w:rsidP="007E07F0">
      <w:pPr>
        <w:spacing w:after="0" w:line="240" w:lineRule="auto"/>
      </w:pPr>
      <w:r>
        <w:separator/>
      </w:r>
    </w:p>
  </w:endnote>
  <w:endnote w:type="continuationSeparator" w:id="0">
    <w:p w14:paraId="549690D8" w14:textId="77777777" w:rsidR="002303DA" w:rsidRDefault="002303DA" w:rsidP="007E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D0807" w14:textId="77777777" w:rsidR="00A14222" w:rsidRDefault="00A14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A158C" w14:textId="43713130" w:rsidR="00DE735D" w:rsidRPr="007E07F0" w:rsidRDefault="00DE735D" w:rsidP="00A14222">
    <w:pPr>
      <w:pStyle w:val="Footer"/>
      <w:rPr>
        <w:rFonts w:ascii="Arial" w:hAnsi="Arial" w:cs="Arial"/>
        <w:i/>
        <w:sz w:val="20"/>
        <w:szCs w:val="20"/>
      </w:rPr>
    </w:pPr>
    <w:r w:rsidRPr="00C20E8A">
      <w:rPr>
        <w:rFonts w:ascii="Arial" w:hAnsi="Arial" w:cs="Arial"/>
        <w:i/>
        <w:sz w:val="20"/>
        <w:szCs w:val="20"/>
      </w:rPr>
      <w:t xml:space="preserve">MBRC Planning Scheme </w:t>
    </w:r>
    <w:r w:rsidR="00C32829">
      <w:rPr>
        <w:rFonts w:ascii="Arial" w:hAnsi="Arial" w:cs="Arial"/>
        <w:i/>
        <w:sz w:val="20"/>
        <w:szCs w:val="20"/>
      </w:rPr>
      <w:t xml:space="preserve">Version </w:t>
    </w:r>
    <w:r w:rsidR="00DB374C">
      <w:rPr>
        <w:rFonts w:ascii="Arial" w:hAnsi="Arial" w:cs="Arial"/>
        <w:i/>
        <w:sz w:val="20"/>
        <w:szCs w:val="20"/>
      </w:rPr>
      <w:t>7</w:t>
    </w:r>
    <w:r w:rsidR="00C32829">
      <w:rPr>
        <w:rFonts w:ascii="Arial" w:hAnsi="Arial" w:cs="Arial"/>
        <w:i/>
        <w:sz w:val="20"/>
        <w:szCs w:val="20"/>
      </w:rPr>
      <w:t xml:space="preserve"> </w:t>
    </w:r>
    <w:r w:rsidRPr="00C20E8A">
      <w:rPr>
        <w:rFonts w:ascii="Arial" w:hAnsi="Arial" w:cs="Arial"/>
        <w:i/>
        <w:sz w:val="20"/>
        <w:szCs w:val="20"/>
      </w:rPr>
      <w:t xml:space="preserve">- </w:t>
    </w:r>
    <w:r>
      <w:rPr>
        <w:rFonts w:ascii="Arial" w:hAnsi="Arial" w:cs="Arial"/>
        <w:i/>
        <w:sz w:val="20"/>
        <w:szCs w:val="20"/>
      </w:rPr>
      <w:t>Overlay Code - Flood hazard</w:t>
    </w:r>
    <w:r w:rsidRPr="00C20E8A">
      <w:rPr>
        <w:rFonts w:ascii="Arial" w:hAnsi="Arial" w:cs="Arial"/>
        <w:i/>
        <w:sz w:val="20"/>
        <w:szCs w:val="20"/>
      </w:rPr>
      <w:t xml:space="preserve"> </w:t>
    </w:r>
    <w:r>
      <w:rPr>
        <w:rFonts w:ascii="Arial" w:hAnsi="Arial" w:cs="Arial"/>
        <w:i/>
        <w:sz w:val="20"/>
        <w:szCs w:val="20"/>
      </w:rPr>
      <w:t>-</w:t>
    </w:r>
    <w:r w:rsidRPr="00C20E8A">
      <w:rPr>
        <w:rFonts w:ascii="Arial" w:hAnsi="Arial" w:cs="Arial"/>
        <w:i/>
        <w:sz w:val="20"/>
        <w:szCs w:val="20"/>
      </w:rPr>
      <w:t xml:space="preserve"> </w:t>
    </w:r>
    <w:r>
      <w:rPr>
        <w:rFonts w:ascii="Arial" w:hAnsi="Arial" w:cs="Arial"/>
        <w:i/>
        <w:sz w:val="20"/>
        <w:szCs w:val="20"/>
      </w:rPr>
      <w:t>Assessabl</w:t>
    </w:r>
    <w:r w:rsidR="00C32829">
      <w:rPr>
        <w:rFonts w:ascii="Arial" w:hAnsi="Arial" w:cs="Arial"/>
        <w:i/>
        <w:sz w:val="20"/>
        <w:szCs w:val="20"/>
      </w:rPr>
      <w:t>e</w:t>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sdt>
      <w:sdtPr>
        <w:rPr>
          <w:rFonts w:ascii="Arial" w:hAnsi="Arial" w:cs="Arial"/>
          <w:sz w:val="20"/>
          <w:szCs w:val="20"/>
        </w:rPr>
        <w:id w:val="-680430264"/>
        <w:docPartObj>
          <w:docPartGallery w:val="Page Numbers (Bottom of Page)"/>
          <w:docPartUnique/>
        </w:docPartObj>
      </w:sdtPr>
      <w:sdtEndPr>
        <w:rPr>
          <w:noProof/>
        </w:rPr>
      </w:sdtEndPr>
      <w:sdtContent>
        <w:r w:rsidR="00A14222">
          <w:rPr>
            <w:rFonts w:ascii="Arial" w:hAnsi="Arial" w:cs="Arial"/>
            <w:sz w:val="20"/>
            <w:szCs w:val="20"/>
          </w:rPr>
          <w:t xml:space="preserve">                                                               </w:t>
        </w:r>
        <w:r w:rsidRPr="00C20E8A">
          <w:rPr>
            <w:rFonts w:ascii="Arial" w:hAnsi="Arial" w:cs="Arial"/>
            <w:sz w:val="20"/>
            <w:szCs w:val="20"/>
          </w:rPr>
          <w:fldChar w:fldCharType="begin"/>
        </w:r>
        <w:r w:rsidRPr="00C20E8A">
          <w:rPr>
            <w:rFonts w:ascii="Arial" w:hAnsi="Arial" w:cs="Arial"/>
            <w:sz w:val="20"/>
            <w:szCs w:val="20"/>
          </w:rPr>
          <w:instrText xml:space="preserve"> PAGE   \* MERGEFORMAT </w:instrText>
        </w:r>
        <w:r w:rsidRPr="00C20E8A">
          <w:rPr>
            <w:rFonts w:ascii="Arial" w:hAnsi="Arial" w:cs="Arial"/>
            <w:sz w:val="20"/>
            <w:szCs w:val="20"/>
          </w:rPr>
          <w:fldChar w:fldCharType="separate"/>
        </w:r>
        <w:r>
          <w:rPr>
            <w:rFonts w:ascii="Arial" w:hAnsi="Arial" w:cs="Arial"/>
            <w:noProof/>
            <w:sz w:val="20"/>
            <w:szCs w:val="20"/>
          </w:rPr>
          <w:t>14</w:t>
        </w:r>
        <w:r w:rsidRPr="00C20E8A">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9674" w14:textId="77777777" w:rsidR="00A14222" w:rsidRDefault="00A142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EA154" w14:textId="77777777" w:rsidR="002303DA" w:rsidRDefault="002303DA" w:rsidP="007E07F0">
      <w:pPr>
        <w:spacing w:after="0" w:line="240" w:lineRule="auto"/>
      </w:pPr>
      <w:r>
        <w:separator/>
      </w:r>
    </w:p>
  </w:footnote>
  <w:footnote w:type="continuationSeparator" w:id="0">
    <w:p w14:paraId="3F71411D" w14:textId="77777777" w:rsidR="002303DA" w:rsidRDefault="002303DA" w:rsidP="007E0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B63F" w14:textId="77777777" w:rsidR="00A14222" w:rsidRDefault="00A14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446B" w14:textId="77777777" w:rsidR="00A14222" w:rsidRDefault="00A1422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7FEC" w14:textId="77777777" w:rsidR="00A14222" w:rsidRDefault="00A142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F7E"/>
    <w:multiLevelType w:val="multilevel"/>
    <w:tmpl w:val="EF762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45A04"/>
    <w:multiLevelType w:val="multilevel"/>
    <w:tmpl w:val="4E2E9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E97A33"/>
    <w:multiLevelType w:val="multilevel"/>
    <w:tmpl w:val="9C3AFA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3319B"/>
    <w:multiLevelType w:val="multilevel"/>
    <w:tmpl w:val="AA109B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2806E75"/>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743B58"/>
    <w:multiLevelType w:val="multilevel"/>
    <w:tmpl w:val="E01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94E7827"/>
    <w:multiLevelType w:val="multilevel"/>
    <w:tmpl w:val="650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597CE3"/>
    <w:multiLevelType w:val="multilevel"/>
    <w:tmpl w:val="A690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FC6F3C"/>
    <w:multiLevelType w:val="multilevel"/>
    <w:tmpl w:val="347019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DB9441D"/>
    <w:multiLevelType w:val="multilevel"/>
    <w:tmpl w:val="AB8ED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4C2B84"/>
    <w:multiLevelType w:val="multilevel"/>
    <w:tmpl w:val="248669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8072BEF"/>
    <w:multiLevelType w:val="multilevel"/>
    <w:tmpl w:val="69043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AF452E6"/>
    <w:multiLevelType w:val="multilevel"/>
    <w:tmpl w:val="089A5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DEF36C9"/>
    <w:multiLevelType w:val="multilevel"/>
    <w:tmpl w:val="15F4B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2A6CF1"/>
    <w:multiLevelType w:val="multilevel"/>
    <w:tmpl w:val="509CF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7AB2EC3"/>
    <w:multiLevelType w:val="multilevel"/>
    <w:tmpl w:val="69426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220158"/>
    <w:multiLevelType w:val="multilevel"/>
    <w:tmpl w:val="95D0F1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8801CC8"/>
    <w:multiLevelType w:val="multilevel"/>
    <w:tmpl w:val="AFE8C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8D1668"/>
    <w:multiLevelType w:val="multilevel"/>
    <w:tmpl w:val="97FE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D9D3794"/>
    <w:multiLevelType w:val="multilevel"/>
    <w:tmpl w:val="CC28A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D1167B"/>
    <w:multiLevelType w:val="multilevel"/>
    <w:tmpl w:val="37C4D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4DC50E4"/>
    <w:multiLevelType w:val="multilevel"/>
    <w:tmpl w:val="EBE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E7486"/>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EB7F2A"/>
    <w:multiLevelType w:val="multilevel"/>
    <w:tmpl w:val="9CD88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4E03097"/>
    <w:multiLevelType w:val="multilevel"/>
    <w:tmpl w:val="AE126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9BD3AAE"/>
    <w:multiLevelType w:val="multilevel"/>
    <w:tmpl w:val="C9AE8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7F376CA"/>
    <w:multiLevelType w:val="multilevel"/>
    <w:tmpl w:val="F97CA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01793588">
    <w:abstractNumId w:val="19"/>
  </w:num>
  <w:num w:numId="2" w16cid:durableId="1642080039">
    <w:abstractNumId w:val="18"/>
  </w:num>
  <w:num w:numId="3" w16cid:durableId="1364745781">
    <w:abstractNumId w:val="24"/>
  </w:num>
  <w:num w:numId="4" w16cid:durableId="129059604">
    <w:abstractNumId w:val="3"/>
  </w:num>
  <w:num w:numId="5" w16cid:durableId="1560088135">
    <w:abstractNumId w:val="21"/>
  </w:num>
  <w:num w:numId="6" w16cid:durableId="1017779124">
    <w:abstractNumId w:val="5"/>
  </w:num>
  <w:num w:numId="7" w16cid:durableId="2087071480">
    <w:abstractNumId w:val="9"/>
  </w:num>
  <w:num w:numId="8" w16cid:durableId="1319773955">
    <w:abstractNumId w:val="13"/>
  </w:num>
  <w:num w:numId="9" w16cid:durableId="1048645710">
    <w:abstractNumId w:val="11"/>
  </w:num>
  <w:num w:numId="10" w16cid:durableId="829491596">
    <w:abstractNumId w:val="14"/>
  </w:num>
  <w:num w:numId="11" w16cid:durableId="1763793102">
    <w:abstractNumId w:val="2"/>
  </w:num>
  <w:num w:numId="12" w16cid:durableId="2131782030">
    <w:abstractNumId w:val="23"/>
  </w:num>
  <w:num w:numId="13" w16cid:durableId="867448896">
    <w:abstractNumId w:val="15"/>
  </w:num>
  <w:num w:numId="14" w16cid:durableId="2103066043">
    <w:abstractNumId w:val="17"/>
  </w:num>
  <w:num w:numId="15" w16cid:durableId="405610787">
    <w:abstractNumId w:val="12"/>
  </w:num>
  <w:num w:numId="16" w16cid:durableId="827137388">
    <w:abstractNumId w:val="1"/>
  </w:num>
  <w:num w:numId="17" w16cid:durableId="1880825357">
    <w:abstractNumId w:val="10"/>
  </w:num>
  <w:num w:numId="18" w16cid:durableId="1658723151">
    <w:abstractNumId w:val="20"/>
  </w:num>
  <w:num w:numId="19" w16cid:durableId="982461906">
    <w:abstractNumId w:val="8"/>
  </w:num>
  <w:num w:numId="20" w16cid:durableId="569190549">
    <w:abstractNumId w:val="26"/>
  </w:num>
  <w:num w:numId="21" w16cid:durableId="1188640178">
    <w:abstractNumId w:val="25"/>
  </w:num>
  <w:num w:numId="22" w16cid:durableId="501630660">
    <w:abstractNumId w:val="27"/>
  </w:num>
  <w:num w:numId="23" w16cid:durableId="1139956341">
    <w:abstractNumId w:val="16"/>
  </w:num>
  <w:num w:numId="24" w16cid:durableId="509835830">
    <w:abstractNumId w:val="0"/>
  </w:num>
  <w:num w:numId="25" w16cid:durableId="1184829150">
    <w:abstractNumId w:val="7"/>
  </w:num>
  <w:num w:numId="26" w16cid:durableId="192697369">
    <w:abstractNumId w:val="22"/>
  </w:num>
  <w:num w:numId="27" w16cid:durableId="989284621">
    <w:abstractNumId w:val="6"/>
  </w:num>
  <w:num w:numId="28" w16cid:durableId="6723426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F"/>
    <w:rsid w:val="00020F67"/>
    <w:rsid w:val="00065325"/>
    <w:rsid w:val="000970E8"/>
    <w:rsid w:val="001F607F"/>
    <w:rsid w:val="002303DA"/>
    <w:rsid w:val="002C249B"/>
    <w:rsid w:val="00343624"/>
    <w:rsid w:val="0035246F"/>
    <w:rsid w:val="0035377F"/>
    <w:rsid w:val="00357954"/>
    <w:rsid w:val="00365610"/>
    <w:rsid w:val="00397287"/>
    <w:rsid w:val="0045430D"/>
    <w:rsid w:val="004A50FE"/>
    <w:rsid w:val="005407E3"/>
    <w:rsid w:val="005632EF"/>
    <w:rsid w:val="005B1869"/>
    <w:rsid w:val="00603636"/>
    <w:rsid w:val="007E07F0"/>
    <w:rsid w:val="008007DA"/>
    <w:rsid w:val="008E6513"/>
    <w:rsid w:val="00A14222"/>
    <w:rsid w:val="00A42E0F"/>
    <w:rsid w:val="00A443E2"/>
    <w:rsid w:val="00A87D91"/>
    <w:rsid w:val="00B04D4F"/>
    <w:rsid w:val="00B773EE"/>
    <w:rsid w:val="00BB3E2F"/>
    <w:rsid w:val="00C32829"/>
    <w:rsid w:val="00C94E1A"/>
    <w:rsid w:val="00CF0EC7"/>
    <w:rsid w:val="00CF6DD4"/>
    <w:rsid w:val="00DA5F08"/>
    <w:rsid w:val="00DB374C"/>
    <w:rsid w:val="00DE735D"/>
    <w:rsid w:val="00FA3B2F"/>
    <w:rsid w:val="00FC3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EB5F6"/>
  <w15:chartTrackingRefBased/>
  <w15:docId w15:val="{B642E25D-518D-46BB-8660-C5B50B7C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D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87D91"/>
    <w:rPr>
      <w:i/>
      <w:iCs/>
    </w:rPr>
  </w:style>
  <w:style w:type="character" w:styleId="Strong">
    <w:name w:val="Strong"/>
    <w:basedOn w:val="DefaultParagraphFont"/>
    <w:uiPriority w:val="22"/>
    <w:qFormat/>
    <w:rsid w:val="00A87D91"/>
    <w:rPr>
      <w:b/>
      <w:bCs/>
    </w:rPr>
  </w:style>
  <w:style w:type="character" w:styleId="Hyperlink">
    <w:name w:val="Hyperlink"/>
    <w:basedOn w:val="DefaultParagraphFont"/>
    <w:uiPriority w:val="99"/>
    <w:unhideWhenUsed/>
    <w:rsid w:val="00A87D91"/>
    <w:rPr>
      <w:color w:val="0000FF"/>
      <w:u w:val="single"/>
    </w:rPr>
  </w:style>
  <w:style w:type="character" w:customStyle="1" w:styleId="newwindow">
    <w:name w:val="newwindow"/>
    <w:basedOn w:val="DefaultParagraphFont"/>
    <w:rsid w:val="00A87D91"/>
  </w:style>
  <w:style w:type="paragraph" w:styleId="ListParagraph">
    <w:name w:val="List Paragraph"/>
    <w:basedOn w:val="Normal"/>
    <w:uiPriority w:val="34"/>
    <w:qFormat/>
    <w:rsid w:val="00603636"/>
    <w:pPr>
      <w:spacing w:after="200" w:line="276" w:lineRule="auto"/>
      <w:ind w:left="720"/>
      <w:contextualSpacing/>
    </w:pPr>
    <w:rPr>
      <w:rFonts w:ascii="Arial" w:hAnsi="Arial"/>
    </w:rPr>
  </w:style>
  <w:style w:type="paragraph" w:styleId="Header">
    <w:name w:val="header"/>
    <w:basedOn w:val="Normal"/>
    <w:link w:val="HeaderChar"/>
    <w:uiPriority w:val="99"/>
    <w:unhideWhenUsed/>
    <w:rsid w:val="007E0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7F0"/>
  </w:style>
  <w:style w:type="paragraph" w:styleId="Footer">
    <w:name w:val="footer"/>
    <w:basedOn w:val="Normal"/>
    <w:link w:val="FooterChar"/>
    <w:uiPriority w:val="99"/>
    <w:unhideWhenUsed/>
    <w:rsid w:val="007E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7F0"/>
  </w:style>
  <w:style w:type="paragraph" w:styleId="BalloonText">
    <w:name w:val="Balloon Text"/>
    <w:basedOn w:val="Normal"/>
    <w:link w:val="BalloonTextChar"/>
    <w:uiPriority w:val="99"/>
    <w:semiHidden/>
    <w:unhideWhenUsed/>
    <w:rsid w:val="00540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7E3"/>
    <w:rPr>
      <w:rFonts w:ascii="Segoe UI" w:hAnsi="Segoe UI" w:cs="Segoe UI"/>
      <w:sz w:val="18"/>
      <w:szCs w:val="18"/>
    </w:rPr>
  </w:style>
  <w:style w:type="character" w:styleId="UnresolvedMention">
    <w:name w:val="Unresolved Mention"/>
    <w:basedOn w:val="DefaultParagraphFont"/>
    <w:uiPriority w:val="99"/>
    <w:semiHidden/>
    <w:unhideWhenUsed/>
    <w:rsid w:val="008E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287748">
      <w:bodyDiv w:val="1"/>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1144850563">
              <w:marLeft w:val="0"/>
              <w:marRight w:val="0"/>
              <w:marTop w:val="0"/>
              <w:marBottom w:val="0"/>
              <w:divBdr>
                <w:top w:val="none" w:sz="0" w:space="0" w:color="auto"/>
                <w:left w:val="none" w:sz="0" w:space="0" w:color="auto"/>
                <w:bottom w:val="none" w:sz="0" w:space="0" w:color="auto"/>
                <w:right w:val="none" w:sz="0" w:space="0" w:color="auto"/>
              </w:divBdr>
              <w:divsChild>
                <w:div w:id="715928218">
                  <w:marLeft w:val="0"/>
                  <w:marRight w:val="0"/>
                  <w:marTop w:val="0"/>
                  <w:marBottom w:val="0"/>
                  <w:divBdr>
                    <w:top w:val="none" w:sz="0" w:space="0" w:color="auto"/>
                    <w:left w:val="none" w:sz="0" w:space="0" w:color="auto"/>
                    <w:bottom w:val="none" w:sz="0" w:space="0" w:color="auto"/>
                    <w:right w:val="none" w:sz="0" w:space="0" w:color="auto"/>
                  </w:divBdr>
                  <w:divsChild>
                    <w:div w:id="709958942">
                      <w:marLeft w:val="0"/>
                      <w:marRight w:val="0"/>
                      <w:marTop w:val="0"/>
                      <w:marBottom w:val="0"/>
                      <w:divBdr>
                        <w:top w:val="none" w:sz="0" w:space="0" w:color="auto"/>
                        <w:left w:val="none" w:sz="0" w:space="0" w:color="auto"/>
                        <w:bottom w:val="none" w:sz="0" w:space="0" w:color="auto"/>
                        <w:right w:val="none" w:sz="0" w:space="0" w:color="auto"/>
                      </w:divBdr>
                      <w:divsChild>
                        <w:div w:id="2039233304">
                          <w:marLeft w:val="0"/>
                          <w:marRight w:val="0"/>
                          <w:marTop w:val="0"/>
                          <w:marBottom w:val="0"/>
                          <w:divBdr>
                            <w:top w:val="none" w:sz="0" w:space="0" w:color="auto"/>
                            <w:left w:val="none" w:sz="0" w:space="0" w:color="auto"/>
                            <w:bottom w:val="none" w:sz="0" w:space="0" w:color="auto"/>
                            <w:right w:val="none" w:sz="0" w:space="0" w:color="auto"/>
                          </w:divBdr>
                          <w:divsChild>
                            <w:div w:id="2046756587">
                              <w:marLeft w:val="0"/>
                              <w:marRight w:val="0"/>
                              <w:marTop w:val="0"/>
                              <w:marBottom w:val="0"/>
                              <w:divBdr>
                                <w:top w:val="none" w:sz="0" w:space="0" w:color="auto"/>
                                <w:left w:val="none" w:sz="0" w:space="0" w:color="auto"/>
                                <w:bottom w:val="none" w:sz="0" w:space="0" w:color="auto"/>
                                <w:right w:val="none" w:sz="0" w:space="0" w:color="auto"/>
                              </w:divBdr>
                              <w:divsChild>
                                <w:div w:id="1808736962">
                                  <w:marLeft w:val="0"/>
                                  <w:marRight w:val="0"/>
                                  <w:marTop w:val="0"/>
                                  <w:marBottom w:val="0"/>
                                  <w:divBdr>
                                    <w:top w:val="none" w:sz="0" w:space="0" w:color="auto"/>
                                    <w:left w:val="none" w:sz="0" w:space="0" w:color="auto"/>
                                    <w:bottom w:val="none" w:sz="0" w:space="0" w:color="auto"/>
                                    <w:right w:val="none" w:sz="0" w:space="0" w:color="auto"/>
                                  </w:divBdr>
                                  <w:divsChild>
                                    <w:div w:id="110781203">
                                      <w:marLeft w:val="0"/>
                                      <w:marRight w:val="0"/>
                                      <w:marTop w:val="0"/>
                                      <w:marBottom w:val="0"/>
                                      <w:divBdr>
                                        <w:top w:val="none" w:sz="0" w:space="0" w:color="auto"/>
                                        <w:left w:val="none" w:sz="0" w:space="0" w:color="auto"/>
                                        <w:bottom w:val="none" w:sz="0" w:space="0" w:color="auto"/>
                                        <w:right w:val="none" w:sz="0" w:space="0" w:color="auto"/>
                                      </w:divBdr>
                                      <w:divsChild>
                                        <w:div w:id="1560555967">
                                          <w:marLeft w:val="0"/>
                                          <w:marRight w:val="0"/>
                                          <w:marTop w:val="0"/>
                                          <w:marBottom w:val="0"/>
                                          <w:divBdr>
                                            <w:top w:val="none" w:sz="0" w:space="0" w:color="auto"/>
                                            <w:left w:val="none" w:sz="0" w:space="0" w:color="auto"/>
                                            <w:bottom w:val="none" w:sz="0" w:space="0" w:color="auto"/>
                                            <w:right w:val="none" w:sz="0" w:space="0" w:color="auto"/>
                                          </w:divBdr>
                                          <w:divsChild>
                                            <w:div w:id="1402753305">
                                              <w:marLeft w:val="0"/>
                                              <w:marRight w:val="0"/>
                                              <w:marTop w:val="0"/>
                                              <w:marBottom w:val="0"/>
                                              <w:divBdr>
                                                <w:top w:val="none" w:sz="0" w:space="0" w:color="auto"/>
                                                <w:left w:val="none" w:sz="0" w:space="0" w:color="auto"/>
                                                <w:bottom w:val="none" w:sz="0" w:space="0" w:color="auto"/>
                                                <w:right w:val="none" w:sz="0" w:space="0" w:color="auto"/>
                                              </w:divBdr>
                                              <w:divsChild>
                                                <w:div w:id="136411315">
                                                  <w:marLeft w:val="0"/>
                                                  <w:marRight w:val="0"/>
                                                  <w:marTop w:val="0"/>
                                                  <w:marBottom w:val="0"/>
                                                  <w:divBdr>
                                                    <w:top w:val="none" w:sz="0" w:space="0" w:color="auto"/>
                                                    <w:left w:val="none" w:sz="0" w:space="0" w:color="auto"/>
                                                    <w:bottom w:val="none" w:sz="0" w:space="0" w:color="auto"/>
                                                    <w:right w:val="none" w:sz="0" w:space="0" w:color="auto"/>
                                                  </w:divBdr>
                                                  <w:divsChild>
                                                    <w:div w:id="1551959764">
                                                      <w:marLeft w:val="0"/>
                                                      <w:marRight w:val="0"/>
                                                      <w:marTop w:val="0"/>
                                                      <w:marBottom w:val="0"/>
                                                      <w:divBdr>
                                                        <w:top w:val="none" w:sz="0" w:space="0" w:color="auto"/>
                                                        <w:left w:val="none" w:sz="0" w:space="0" w:color="auto"/>
                                                        <w:bottom w:val="none" w:sz="0" w:space="0" w:color="auto"/>
                                                        <w:right w:val="none" w:sz="0" w:space="0" w:color="auto"/>
                                                      </w:divBdr>
                                                    </w:div>
                                                  </w:divsChild>
                                                </w:div>
                                                <w:div w:id="836189170">
                                                  <w:marLeft w:val="0"/>
                                                  <w:marRight w:val="0"/>
                                                  <w:marTop w:val="0"/>
                                                  <w:marBottom w:val="0"/>
                                                  <w:divBdr>
                                                    <w:top w:val="none" w:sz="0" w:space="0" w:color="auto"/>
                                                    <w:left w:val="none" w:sz="0" w:space="0" w:color="auto"/>
                                                    <w:bottom w:val="none" w:sz="0" w:space="0" w:color="auto"/>
                                                    <w:right w:val="none" w:sz="0" w:space="0" w:color="auto"/>
                                                  </w:divBdr>
                                                  <w:divsChild>
                                                    <w:div w:id="955912341">
                                                      <w:marLeft w:val="0"/>
                                                      <w:marRight w:val="0"/>
                                                      <w:marTop w:val="0"/>
                                                      <w:marBottom w:val="0"/>
                                                      <w:divBdr>
                                                        <w:top w:val="none" w:sz="0" w:space="0" w:color="auto"/>
                                                        <w:left w:val="none" w:sz="0" w:space="0" w:color="auto"/>
                                                        <w:bottom w:val="none" w:sz="0" w:space="0" w:color="auto"/>
                                                        <w:right w:val="none" w:sz="0" w:space="0" w:color="auto"/>
                                                      </w:divBdr>
                                                    </w:div>
                                                  </w:divsChild>
                                                </w:div>
                                                <w:div w:id="1924996626">
                                                  <w:marLeft w:val="0"/>
                                                  <w:marRight w:val="0"/>
                                                  <w:marTop w:val="0"/>
                                                  <w:marBottom w:val="0"/>
                                                  <w:divBdr>
                                                    <w:top w:val="none" w:sz="0" w:space="0" w:color="auto"/>
                                                    <w:left w:val="none" w:sz="0" w:space="0" w:color="auto"/>
                                                    <w:bottom w:val="none" w:sz="0" w:space="0" w:color="auto"/>
                                                    <w:right w:val="none" w:sz="0" w:space="0" w:color="auto"/>
                                                  </w:divBdr>
                                                  <w:divsChild>
                                                    <w:div w:id="623314290">
                                                      <w:marLeft w:val="0"/>
                                                      <w:marRight w:val="0"/>
                                                      <w:marTop w:val="0"/>
                                                      <w:marBottom w:val="0"/>
                                                      <w:divBdr>
                                                        <w:top w:val="none" w:sz="0" w:space="0" w:color="auto"/>
                                                        <w:left w:val="none" w:sz="0" w:space="0" w:color="auto"/>
                                                        <w:bottom w:val="none" w:sz="0" w:space="0" w:color="auto"/>
                                                        <w:right w:val="none" w:sz="0" w:space="0" w:color="auto"/>
                                                      </w:divBdr>
                                                    </w:div>
                                                  </w:divsChild>
                                                </w:div>
                                                <w:div w:id="389236366">
                                                  <w:marLeft w:val="0"/>
                                                  <w:marRight w:val="0"/>
                                                  <w:marTop w:val="0"/>
                                                  <w:marBottom w:val="0"/>
                                                  <w:divBdr>
                                                    <w:top w:val="none" w:sz="0" w:space="0" w:color="auto"/>
                                                    <w:left w:val="none" w:sz="0" w:space="0" w:color="auto"/>
                                                    <w:bottom w:val="none" w:sz="0" w:space="0" w:color="auto"/>
                                                    <w:right w:val="none" w:sz="0" w:space="0" w:color="auto"/>
                                                  </w:divBdr>
                                                  <w:divsChild>
                                                    <w:div w:id="87849503">
                                                      <w:marLeft w:val="0"/>
                                                      <w:marRight w:val="0"/>
                                                      <w:marTop w:val="0"/>
                                                      <w:marBottom w:val="0"/>
                                                      <w:divBdr>
                                                        <w:top w:val="none" w:sz="0" w:space="0" w:color="auto"/>
                                                        <w:left w:val="none" w:sz="0" w:space="0" w:color="auto"/>
                                                        <w:bottom w:val="none" w:sz="0" w:space="0" w:color="auto"/>
                                                        <w:right w:val="none" w:sz="0" w:space="0" w:color="auto"/>
                                                      </w:divBdr>
                                                    </w:div>
                                                  </w:divsChild>
                                                </w:div>
                                                <w:div w:id="609897579">
                                                  <w:marLeft w:val="0"/>
                                                  <w:marRight w:val="0"/>
                                                  <w:marTop w:val="0"/>
                                                  <w:marBottom w:val="0"/>
                                                  <w:divBdr>
                                                    <w:top w:val="none" w:sz="0" w:space="0" w:color="auto"/>
                                                    <w:left w:val="none" w:sz="0" w:space="0" w:color="auto"/>
                                                    <w:bottom w:val="none" w:sz="0" w:space="0" w:color="auto"/>
                                                    <w:right w:val="none" w:sz="0" w:space="0" w:color="auto"/>
                                                  </w:divBdr>
                                                  <w:divsChild>
                                                    <w:div w:id="713964999">
                                                      <w:marLeft w:val="0"/>
                                                      <w:marRight w:val="0"/>
                                                      <w:marTop w:val="0"/>
                                                      <w:marBottom w:val="0"/>
                                                      <w:divBdr>
                                                        <w:top w:val="none" w:sz="0" w:space="0" w:color="auto"/>
                                                        <w:left w:val="none" w:sz="0" w:space="0" w:color="auto"/>
                                                        <w:bottom w:val="none" w:sz="0" w:space="0" w:color="auto"/>
                                                        <w:right w:val="none" w:sz="0" w:space="0" w:color="auto"/>
                                                      </w:divBdr>
                                                    </w:div>
                                                  </w:divsChild>
                                                </w:div>
                                                <w:div w:id="2035694216">
                                                  <w:marLeft w:val="0"/>
                                                  <w:marRight w:val="0"/>
                                                  <w:marTop w:val="0"/>
                                                  <w:marBottom w:val="0"/>
                                                  <w:divBdr>
                                                    <w:top w:val="none" w:sz="0" w:space="0" w:color="auto"/>
                                                    <w:left w:val="none" w:sz="0" w:space="0" w:color="auto"/>
                                                    <w:bottom w:val="none" w:sz="0" w:space="0" w:color="auto"/>
                                                    <w:right w:val="none" w:sz="0" w:space="0" w:color="auto"/>
                                                  </w:divBdr>
                                                  <w:divsChild>
                                                    <w:div w:id="2039891489">
                                                      <w:marLeft w:val="0"/>
                                                      <w:marRight w:val="0"/>
                                                      <w:marTop w:val="0"/>
                                                      <w:marBottom w:val="0"/>
                                                      <w:divBdr>
                                                        <w:top w:val="none" w:sz="0" w:space="0" w:color="auto"/>
                                                        <w:left w:val="none" w:sz="0" w:space="0" w:color="auto"/>
                                                        <w:bottom w:val="none" w:sz="0" w:space="0" w:color="auto"/>
                                                        <w:right w:val="none" w:sz="0" w:space="0" w:color="auto"/>
                                                      </w:divBdr>
                                                    </w:div>
                                                  </w:divsChild>
                                                </w:div>
                                                <w:div w:id="2023973030">
                                                  <w:marLeft w:val="0"/>
                                                  <w:marRight w:val="0"/>
                                                  <w:marTop w:val="0"/>
                                                  <w:marBottom w:val="0"/>
                                                  <w:divBdr>
                                                    <w:top w:val="none" w:sz="0" w:space="0" w:color="auto"/>
                                                    <w:left w:val="none" w:sz="0" w:space="0" w:color="auto"/>
                                                    <w:bottom w:val="none" w:sz="0" w:space="0" w:color="auto"/>
                                                    <w:right w:val="none" w:sz="0" w:space="0" w:color="auto"/>
                                                  </w:divBdr>
                                                  <w:divsChild>
                                                    <w:div w:id="262690845">
                                                      <w:marLeft w:val="0"/>
                                                      <w:marRight w:val="0"/>
                                                      <w:marTop w:val="0"/>
                                                      <w:marBottom w:val="0"/>
                                                      <w:divBdr>
                                                        <w:top w:val="none" w:sz="0" w:space="0" w:color="auto"/>
                                                        <w:left w:val="none" w:sz="0" w:space="0" w:color="auto"/>
                                                        <w:bottom w:val="none" w:sz="0" w:space="0" w:color="auto"/>
                                                        <w:right w:val="none" w:sz="0" w:space="0" w:color="auto"/>
                                                      </w:divBdr>
                                                    </w:div>
                                                  </w:divsChild>
                                                </w:div>
                                                <w:div w:id="563877084">
                                                  <w:marLeft w:val="0"/>
                                                  <w:marRight w:val="0"/>
                                                  <w:marTop w:val="0"/>
                                                  <w:marBottom w:val="0"/>
                                                  <w:divBdr>
                                                    <w:top w:val="none" w:sz="0" w:space="0" w:color="auto"/>
                                                    <w:left w:val="none" w:sz="0" w:space="0" w:color="auto"/>
                                                    <w:bottom w:val="none" w:sz="0" w:space="0" w:color="auto"/>
                                                    <w:right w:val="none" w:sz="0" w:space="0" w:color="auto"/>
                                                  </w:divBdr>
                                                  <w:divsChild>
                                                    <w:div w:id="615603507">
                                                      <w:marLeft w:val="0"/>
                                                      <w:marRight w:val="0"/>
                                                      <w:marTop w:val="0"/>
                                                      <w:marBottom w:val="0"/>
                                                      <w:divBdr>
                                                        <w:top w:val="none" w:sz="0" w:space="0" w:color="auto"/>
                                                        <w:left w:val="none" w:sz="0" w:space="0" w:color="auto"/>
                                                        <w:bottom w:val="none" w:sz="0" w:space="0" w:color="auto"/>
                                                        <w:right w:val="none" w:sz="0" w:space="0" w:color="auto"/>
                                                      </w:divBdr>
                                                    </w:div>
                                                  </w:divsChild>
                                                </w:div>
                                                <w:div w:id="308704978">
                                                  <w:marLeft w:val="0"/>
                                                  <w:marRight w:val="0"/>
                                                  <w:marTop w:val="0"/>
                                                  <w:marBottom w:val="0"/>
                                                  <w:divBdr>
                                                    <w:top w:val="none" w:sz="0" w:space="0" w:color="auto"/>
                                                    <w:left w:val="none" w:sz="0" w:space="0" w:color="auto"/>
                                                    <w:bottom w:val="none" w:sz="0" w:space="0" w:color="auto"/>
                                                    <w:right w:val="none" w:sz="0" w:space="0" w:color="auto"/>
                                                  </w:divBdr>
                                                  <w:divsChild>
                                                    <w:div w:id="1083723498">
                                                      <w:marLeft w:val="0"/>
                                                      <w:marRight w:val="0"/>
                                                      <w:marTop w:val="0"/>
                                                      <w:marBottom w:val="0"/>
                                                      <w:divBdr>
                                                        <w:top w:val="none" w:sz="0" w:space="0" w:color="auto"/>
                                                        <w:left w:val="none" w:sz="0" w:space="0" w:color="auto"/>
                                                        <w:bottom w:val="none" w:sz="0" w:space="0" w:color="auto"/>
                                                        <w:right w:val="none" w:sz="0" w:space="0" w:color="auto"/>
                                                      </w:divBdr>
                                                    </w:div>
                                                  </w:divsChild>
                                                </w:div>
                                                <w:div w:id="1963926387">
                                                  <w:marLeft w:val="0"/>
                                                  <w:marRight w:val="0"/>
                                                  <w:marTop w:val="0"/>
                                                  <w:marBottom w:val="0"/>
                                                  <w:divBdr>
                                                    <w:top w:val="none" w:sz="0" w:space="0" w:color="auto"/>
                                                    <w:left w:val="none" w:sz="0" w:space="0" w:color="auto"/>
                                                    <w:bottom w:val="none" w:sz="0" w:space="0" w:color="auto"/>
                                                    <w:right w:val="none" w:sz="0" w:space="0" w:color="auto"/>
                                                  </w:divBdr>
                                                  <w:divsChild>
                                                    <w:div w:id="20054659">
                                                      <w:marLeft w:val="0"/>
                                                      <w:marRight w:val="0"/>
                                                      <w:marTop w:val="0"/>
                                                      <w:marBottom w:val="0"/>
                                                      <w:divBdr>
                                                        <w:top w:val="none" w:sz="0" w:space="0" w:color="auto"/>
                                                        <w:left w:val="none" w:sz="0" w:space="0" w:color="auto"/>
                                                        <w:bottom w:val="none" w:sz="0" w:space="0" w:color="auto"/>
                                                        <w:right w:val="none" w:sz="0" w:space="0" w:color="auto"/>
                                                      </w:divBdr>
                                                    </w:div>
                                                  </w:divsChild>
                                                </w:div>
                                                <w:div w:id="1864126167">
                                                  <w:marLeft w:val="0"/>
                                                  <w:marRight w:val="0"/>
                                                  <w:marTop w:val="0"/>
                                                  <w:marBottom w:val="0"/>
                                                  <w:divBdr>
                                                    <w:top w:val="none" w:sz="0" w:space="0" w:color="auto"/>
                                                    <w:left w:val="none" w:sz="0" w:space="0" w:color="auto"/>
                                                    <w:bottom w:val="none" w:sz="0" w:space="0" w:color="auto"/>
                                                    <w:right w:val="none" w:sz="0" w:space="0" w:color="auto"/>
                                                  </w:divBdr>
                                                  <w:divsChild>
                                                    <w:div w:id="1945574271">
                                                      <w:marLeft w:val="0"/>
                                                      <w:marRight w:val="0"/>
                                                      <w:marTop w:val="0"/>
                                                      <w:marBottom w:val="0"/>
                                                      <w:divBdr>
                                                        <w:top w:val="none" w:sz="0" w:space="0" w:color="auto"/>
                                                        <w:left w:val="none" w:sz="0" w:space="0" w:color="auto"/>
                                                        <w:bottom w:val="none" w:sz="0" w:space="0" w:color="auto"/>
                                                        <w:right w:val="none" w:sz="0" w:space="0" w:color="auto"/>
                                                      </w:divBdr>
                                                    </w:div>
                                                  </w:divsChild>
                                                </w:div>
                                                <w:div w:id="497303910">
                                                  <w:marLeft w:val="0"/>
                                                  <w:marRight w:val="0"/>
                                                  <w:marTop w:val="0"/>
                                                  <w:marBottom w:val="0"/>
                                                  <w:divBdr>
                                                    <w:top w:val="none" w:sz="0" w:space="0" w:color="auto"/>
                                                    <w:left w:val="none" w:sz="0" w:space="0" w:color="auto"/>
                                                    <w:bottom w:val="none" w:sz="0" w:space="0" w:color="auto"/>
                                                    <w:right w:val="none" w:sz="0" w:space="0" w:color="auto"/>
                                                  </w:divBdr>
                                                  <w:divsChild>
                                                    <w:div w:id="1348486333">
                                                      <w:marLeft w:val="0"/>
                                                      <w:marRight w:val="0"/>
                                                      <w:marTop w:val="0"/>
                                                      <w:marBottom w:val="0"/>
                                                      <w:divBdr>
                                                        <w:top w:val="none" w:sz="0" w:space="0" w:color="auto"/>
                                                        <w:left w:val="none" w:sz="0" w:space="0" w:color="auto"/>
                                                        <w:bottom w:val="none" w:sz="0" w:space="0" w:color="auto"/>
                                                        <w:right w:val="none" w:sz="0" w:space="0" w:color="auto"/>
                                                      </w:divBdr>
                                                    </w:div>
                                                  </w:divsChild>
                                                </w:div>
                                                <w:div w:id="538859598">
                                                  <w:marLeft w:val="0"/>
                                                  <w:marRight w:val="0"/>
                                                  <w:marTop w:val="0"/>
                                                  <w:marBottom w:val="0"/>
                                                  <w:divBdr>
                                                    <w:top w:val="none" w:sz="0" w:space="0" w:color="auto"/>
                                                    <w:left w:val="none" w:sz="0" w:space="0" w:color="auto"/>
                                                    <w:bottom w:val="none" w:sz="0" w:space="0" w:color="auto"/>
                                                    <w:right w:val="none" w:sz="0" w:space="0" w:color="auto"/>
                                                  </w:divBdr>
                                                  <w:divsChild>
                                                    <w:div w:id="88165462">
                                                      <w:marLeft w:val="0"/>
                                                      <w:marRight w:val="0"/>
                                                      <w:marTop w:val="0"/>
                                                      <w:marBottom w:val="0"/>
                                                      <w:divBdr>
                                                        <w:top w:val="none" w:sz="0" w:space="0" w:color="auto"/>
                                                        <w:left w:val="none" w:sz="0" w:space="0" w:color="auto"/>
                                                        <w:bottom w:val="none" w:sz="0" w:space="0" w:color="auto"/>
                                                        <w:right w:val="none" w:sz="0" w:space="0" w:color="auto"/>
                                                      </w:divBdr>
                                                    </w:div>
                                                  </w:divsChild>
                                                </w:div>
                                                <w:div w:id="337539028">
                                                  <w:marLeft w:val="0"/>
                                                  <w:marRight w:val="0"/>
                                                  <w:marTop w:val="0"/>
                                                  <w:marBottom w:val="0"/>
                                                  <w:divBdr>
                                                    <w:top w:val="none" w:sz="0" w:space="0" w:color="auto"/>
                                                    <w:left w:val="none" w:sz="0" w:space="0" w:color="auto"/>
                                                    <w:bottom w:val="none" w:sz="0" w:space="0" w:color="auto"/>
                                                    <w:right w:val="none" w:sz="0" w:space="0" w:color="auto"/>
                                                  </w:divBdr>
                                                  <w:divsChild>
                                                    <w:div w:id="1315842592">
                                                      <w:marLeft w:val="0"/>
                                                      <w:marRight w:val="0"/>
                                                      <w:marTop w:val="0"/>
                                                      <w:marBottom w:val="0"/>
                                                      <w:divBdr>
                                                        <w:top w:val="none" w:sz="0" w:space="0" w:color="auto"/>
                                                        <w:left w:val="none" w:sz="0" w:space="0" w:color="auto"/>
                                                        <w:bottom w:val="none" w:sz="0" w:space="0" w:color="auto"/>
                                                        <w:right w:val="none" w:sz="0" w:space="0" w:color="auto"/>
                                                      </w:divBdr>
                                                    </w:div>
                                                  </w:divsChild>
                                                </w:div>
                                                <w:div w:id="965238358">
                                                  <w:marLeft w:val="0"/>
                                                  <w:marRight w:val="0"/>
                                                  <w:marTop w:val="0"/>
                                                  <w:marBottom w:val="0"/>
                                                  <w:divBdr>
                                                    <w:top w:val="none" w:sz="0" w:space="0" w:color="auto"/>
                                                    <w:left w:val="none" w:sz="0" w:space="0" w:color="auto"/>
                                                    <w:bottom w:val="none" w:sz="0" w:space="0" w:color="auto"/>
                                                    <w:right w:val="none" w:sz="0" w:space="0" w:color="auto"/>
                                                  </w:divBdr>
                                                  <w:divsChild>
                                                    <w:div w:id="1736704165">
                                                      <w:marLeft w:val="0"/>
                                                      <w:marRight w:val="0"/>
                                                      <w:marTop w:val="0"/>
                                                      <w:marBottom w:val="0"/>
                                                      <w:divBdr>
                                                        <w:top w:val="none" w:sz="0" w:space="0" w:color="auto"/>
                                                        <w:left w:val="none" w:sz="0" w:space="0" w:color="auto"/>
                                                        <w:bottom w:val="none" w:sz="0" w:space="0" w:color="auto"/>
                                                        <w:right w:val="none" w:sz="0" w:space="0" w:color="auto"/>
                                                      </w:divBdr>
                                                    </w:div>
                                                  </w:divsChild>
                                                </w:div>
                                                <w:div w:id="2085762233">
                                                  <w:marLeft w:val="0"/>
                                                  <w:marRight w:val="0"/>
                                                  <w:marTop w:val="0"/>
                                                  <w:marBottom w:val="0"/>
                                                  <w:divBdr>
                                                    <w:top w:val="none" w:sz="0" w:space="0" w:color="auto"/>
                                                    <w:left w:val="none" w:sz="0" w:space="0" w:color="auto"/>
                                                    <w:bottom w:val="none" w:sz="0" w:space="0" w:color="auto"/>
                                                    <w:right w:val="none" w:sz="0" w:space="0" w:color="auto"/>
                                                  </w:divBdr>
                                                  <w:divsChild>
                                                    <w:div w:id="1965192300">
                                                      <w:marLeft w:val="0"/>
                                                      <w:marRight w:val="0"/>
                                                      <w:marTop w:val="0"/>
                                                      <w:marBottom w:val="0"/>
                                                      <w:divBdr>
                                                        <w:top w:val="none" w:sz="0" w:space="0" w:color="auto"/>
                                                        <w:left w:val="none" w:sz="0" w:space="0" w:color="auto"/>
                                                        <w:bottom w:val="none" w:sz="0" w:space="0" w:color="auto"/>
                                                        <w:right w:val="none" w:sz="0" w:space="0" w:color="auto"/>
                                                      </w:divBdr>
                                                    </w:div>
                                                  </w:divsChild>
                                                </w:div>
                                                <w:div w:id="1809008820">
                                                  <w:marLeft w:val="0"/>
                                                  <w:marRight w:val="0"/>
                                                  <w:marTop w:val="0"/>
                                                  <w:marBottom w:val="0"/>
                                                  <w:divBdr>
                                                    <w:top w:val="none" w:sz="0" w:space="0" w:color="auto"/>
                                                    <w:left w:val="none" w:sz="0" w:space="0" w:color="auto"/>
                                                    <w:bottom w:val="none" w:sz="0" w:space="0" w:color="auto"/>
                                                    <w:right w:val="none" w:sz="0" w:space="0" w:color="auto"/>
                                                  </w:divBdr>
                                                  <w:divsChild>
                                                    <w:div w:id="250706095">
                                                      <w:marLeft w:val="0"/>
                                                      <w:marRight w:val="0"/>
                                                      <w:marTop w:val="0"/>
                                                      <w:marBottom w:val="0"/>
                                                      <w:divBdr>
                                                        <w:top w:val="none" w:sz="0" w:space="0" w:color="auto"/>
                                                        <w:left w:val="none" w:sz="0" w:space="0" w:color="auto"/>
                                                        <w:bottom w:val="none" w:sz="0" w:space="0" w:color="auto"/>
                                                        <w:right w:val="none" w:sz="0" w:space="0" w:color="auto"/>
                                                      </w:divBdr>
                                                    </w:div>
                                                  </w:divsChild>
                                                </w:div>
                                                <w:div w:id="2044086425">
                                                  <w:marLeft w:val="0"/>
                                                  <w:marRight w:val="0"/>
                                                  <w:marTop w:val="0"/>
                                                  <w:marBottom w:val="0"/>
                                                  <w:divBdr>
                                                    <w:top w:val="none" w:sz="0" w:space="0" w:color="auto"/>
                                                    <w:left w:val="none" w:sz="0" w:space="0" w:color="auto"/>
                                                    <w:bottom w:val="none" w:sz="0" w:space="0" w:color="auto"/>
                                                    <w:right w:val="none" w:sz="0" w:space="0" w:color="auto"/>
                                                  </w:divBdr>
                                                  <w:divsChild>
                                                    <w:div w:id="1687518937">
                                                      <w:marLeft w:val="0"/>
                                                      <w:marRight w:val="0"/>
                                                      <w:marTop w:val="0"/>
                                                      <w:marBottom w:val="0"/>
                                                      <w:divBdr>
                                                        <w:top w:val="none" w:sz="0" w:space="0" w:color="auto"/>
                                                        <w:left w:val="none" w:sz="0" w:space="0" w:color="auto"/>
                                                        <w:bottom w:val="none" w:sz="0" w:space="0" w:color="auto"/>
                                                        <w:right w:val="none" w:sz="0" w:space="0" w:color="auto"/>
                                                      </w:divBdr>
                                                    </w:div>
                                                  </w:divsChild>
                                                </w:div>
                                                <w:div w:id="1882857043">
                                                  <w:marLeft w:val="0"/>
                                                  <w:marRight w:val="0"/>
                                                  <w:marTop w:val="0"/>
                                                  <w:marBottom w:val="0"/>
                                                  <w:divBdr>
                                                    <w:top w:val="none" w:sz="0" w:space="0" w:color="auto"/>
                                                    <w:left w:val="none" w:sz="0" w:space="0" w:color="auto"/>
                                                    <w:bottom w:val="none" w:sz="0" w:space="0" w:color="auto"/>
                                                    <w:right w:val="none" w:sz="0" w:space="0" w:color="auto"/>
                                                  </w:divBdr>
                                                  <w:divsChild>
                                                    <w:div w:id="1966883420">
                                                      <w:marLeft w:val="0"/>
                                                      <w:marRight w:val="0"/>
                                                      <w:marTop w:val="0"/>
                                                      <w:marBottom w:val="0"/>
                                                      <w:divBdr>
                                                        <w:top w:val="none" w:sz="0" w:space="0" w:color="auto"/>
                                                        <w:left w:val="none" w:sz="0" w:space="0" w:color="auto"/>
                                                        <w:bottom w:val="none" w:sz="0" w:space="0" w:color="auto"/>
                                                        <w:right w:val="none" w:sz="0" w:space="0" w:color="auto"/>
                                                      </w:divBdr>
                                                    </w:div>
                                                  </w:divsChild>
                                                </w:div>
                                                <w:div w:id="1304700711">
                                                  <w:marLeft w:val="0"/>
                                                  <w:marRight w:val="0"/>
                                                  <w:marTop w:val="0"/>
                                                  <w:marBottom w:val="0"/>
                                                  <w:divBdr>
                                                    <w:top w:val="none" w:sz="0" w:space="0" w:color="auto"/>
                                                    <w:left w:val="none" w:sz="0" w:space="0" w:color="auto"/>
                                                    <w:bottom w:val="none" w:sz="0" w:space="0" w:color="auto"/>
                                                    <w:right w:val="none" w:sz="0" w:space="0" w:color="auto"/>
                                                  </w:divBdr>
                                                  <w:divsChild>
                                                    <w:div w:id="398478633">
                                                      <w:marLeft w:val="0"/>
                                                      <w:marRight w:val="0"/>
                                                      <w:marTop w:val="0"/>
                                                      <w:marBottom w:val="0"/>
                                                      <w:divBdr>
                                                        <w:top w:val="none" w:sz="0" w:space="0" w:color="auto"/>
                                                        <w:left w:val="none" w:sz="0" w:space="0" w:color="auto"/>
                                                        <w:bottom w:val="none" w:sz="0" w:space="0" w:color="auto"/>
                                                        <w:right w:val="none" w:sz="0" w:space="0" w:color="auto"/>
                                                      </w:divBdr>
                                                    </w:div>
                                                  </w:divsChild>
                                                </w:div>
                                                <w:div w:id="741564784">
                                                  <w:marLeft w:val="0"/>
                                                  <w:marRight w:val="0"/>
                                                  <w:marTop w:val="0"/>
                                                  <w:marBottom w:val="0"/>
                                                  <w:divBdr>
                                                    <w:top w:val="none" w:sz="0" w:space="0" w:color="auto"/>
                                                    <w:left w:val="none" w:sz="0" w:space="0" w:color="auto"/>
                                                    <w:bottom w:val="none" w:sz="0" w:space="0" w:color="auto"/>
                                                    <w:right w:val="none" w:sz="0" w:space="0" w:color="auto"/>
                                                  </w:divBdr>
                                                  <w:divsChild>
                                                    <w:div w:id="1987783324">
                                                      <w:marLeft w:val="0"/>
                                                      <w:marRight w:val="0"/>
                                                      <w:marTop w:val="0"/>
                                                      <w:marBottom w:val="0"/>
                                                      <w:divBdr>
                                                        <w:top w:val="none" w:sz="0" w:space="0" w:color="auto"/>
                                                        <w:left w:val="none" w:sz="0" w:space="0" w:color="auto"/>
                                                        <w:bottom w:val="none" w:sz="0" w:space="0" w:color="auto"/>
                                                        <w:right w:val="none" w:sz="0" w:space="0" w:color="auto"/>
                                                      </w:divBdr>
                                                    </w:div>
                                                  </w:divsChild>
                                                </w:div>
                                                <w:div w:id="1073701946">
                                                  <w:marLeft w:val="0"/>
                                                  <w:marRight w:val="0"/>
                                                  <w:marTop w:val="0"/>
                                                  <w:marBottom w:val="0"/>
                                                  <w:divBdr>
                                                    <w:top w:val="none" w:sz="0" w:space="0" w:color="auto"/>
                                                    <w:left w:val="none" w:sz="0" w:space="0" w:color="auto"/>
                                                    <w:bottom w:val="none" w:sz="0" w:space="0" w:color="auto"/>
                                                    <w:right w:val="none" w:sz="0" w:space="0" w:color="auto"/>
                                                  </w:divBdr>
                                                  <w:divsChild>
                                                    <w:div w:id="60060478">
                                                      <w:marLeft w:val="0"/>
                                                      <w:marRight w:val="0"/>
                                                      <w:marTop w:val="0"/>
                                                      <w:marBottom w:val="0"/>
                                                      <w:divBdr>
                                                        <w:top w:val="none" w:sz="0" w:space="0" w:color="auto"/>
                                                        <w:left w:val="none" w:sz="0" w:space="0" w:color="auto"/>
                                                        <w:bottom w:val="none" w:sz="0" w:space="0" w:color="auto"/>
                                                        <w:right w:val="none" w:sz="0" w:space="0" w:color="auto"/>
                                                      </w:divBdr>
                                                    </w:div>
                                                  </w:divsChild>
                                                </w:div>
                                                <w:div w:id="1414742026">
                                                  <w:marLeft w:val="0"/>
                                                  <w:marRight w:val="0"/>
                                                  <w:marTop w:val="0"/>
                                                  <w:marBottom w:val="0"/>
                                                  <w:divBdr>
                                                    <w:top w:val="none" w:sz="0" w:space="0" w:color="auto"/>
                                                    <w:left w:val="none" w:sz="0" w:space="0" w:color="auto"/>
                                                    <w:bottom w:val="none" w:sz="0" w:space="0" w:color="auto"/>
                                                    <w:right w:val="none" w:sz="0" w:space="0" w:color="auto"/>
                                                  </w:divBdr>
                                                  <w:divsChild>
                                                    <w:div w:id="1414626842">
                                                      <w:marLeft w:val="0"/>
                                                      <w:marRight w:val="0"/>
                                                      <w:marTop w:val="0"/>
                                                      <w:marBottom w:val="0"/>
                                                      <w:divBdr>
                                                        <w:top w:val="none" w:sz="0" w:space="0" w:color="auto"/>
                                                        <w:left w:val="none" w:sz="0" w:space="0" w:color="auto"/>
                                                        <w:bottom w:val="none" w:sz="0" w:space="0" w:color="auto"/>
                                                        <w:right w:val="none" w:sz="0" w:space="0" w:color="auto"/>
                                                      </w:divBdr>
                                                    </w:div>
                                                  </w:divsChild>
                                                </w:div>
                                                <w:div w:id="299699390">
                                                  <w:marLeft w:val="0"/>
                                                  <w:marRight w:val="0"/>
                                                  <w:marTop w:val="0"/>
                                                  <w:marBottom w:val="0"/>
                                                  <w:divBdr>
                                                    <w:top w:val="none" w:sz="0" w:space="0" w:color="auto"/>
                                                    <w:left w:val="none" w:sz="0" w:space="0" w:color="auto"/>
                                                    <w:bottom w:val="none" w:sz="0" w:space="0" w:color="auto"/>
                                                    <w:right w:val="none" w:sz="0" w:space="0" w:color="auto"/>
                                                  </w:divBdr>
                                                  <w:divsChild>
                                                    <w:div w:id="1837458526">
                                                      <w:marLeft w:val="0"/>
                                                      <w:marRight w:val="0"/>
                                                      <w:marTop w:val="0"/>
                                                      <w:marBottom w:val="0"/>
                                                      <w:divBdr>
                                                        <w:top w:val="none" w:sz="0" w:space="0" w:color="auto"/>
                                                        <w:left w:val="none" w:sz="0" w:space="0" w:color="auto"/>
                                                        <w:bottom w:val="none" w:sz="0" w:space="0" w:color="auto"/>
                                                        <w:right w:val="none" w:sz="0" w:space="0" w:color="auto"/>
                                                      </w:divBdr>
                                                    </w:div>
                                                  </w:divsChild>
                                                </w:div>
                                                <w:div w:id="1285431557">
                                                  <w:marLeft w:val="0"/>
                                                  <w:marRight w:val="0"/>
                                                  <w:marTop w:val="0"/>
                                                  <w:marBottom w:val="0"/>
                                                  <w:divBdr>
                                                    <w:top w:val="none" w:sz="0" w:space="0" w:color="auto"/>
                                                    <w:left w:val="none" w:sz="0" w:space="0" w:color="auto"/>
                                                    <w:bottom w:val="none" w:sz="0" w:space="0" w:color="auto"/>
                                                    <w:right w:val="none" w:sz="0" w:space="0" w:color="auto"/>
                                                  </w:divBdr>
                                                  <w:divsChild>
                                                    <w:div w:id="253587102">
                                                      <w:marLeft w:val="0"/>
                                                      <w:marRight w:val="0"/>
                                                      <w:marTop w:val="0"/>
                                                      <w:marBottom w:val="0"/>
                                                      <w:divBdr>
                                                        <w:top w:val="none" w:sz="0" w:space="0" w:color="auto"/>
                                                        <w:left w:val="none" w:sz="0" w:space="0" w:color="auto"/>
                                                        <w:bottom w:val="none" w:sz="0" w:space="0" w:color="auto"/>
                                                        <w:right w:val="none" w:sz="0" w:space="0" w:color="auto"/>
                                                      </w:divBdr>
                                                    </w:div>
                                                  </w:divsChild>
                                                </w:div>
                                                <w:div w:id="171795670">
                                                  <w:marLeft w:val="0"/>
                                                  <w:marRight w:val="0"/>
                                                  <w:marTop w:val="0"/>
                                                  <w:marBottom w:val="0"/>
                                                  <w:divBdr>
                                                    <w:top w:val="none" w:sz="0" w:space="0" w:color="auto"/>
                                                    <w:left w:val="none" w:sz="0" w:space="0" w:color="auto"/>
                                                    <w:bottom w:val="none" w:sz="0" w:space="0" w:color="auto"/>
                                                    <w:right w:val="none" w:sz="0" w:space="0" w:color="auto"/>
                                                  </w:divBdr>
                                                  <w:divsChild>
                                                    <w:div w:id="1231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9036">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51586111">
                                          <w:marLeft w:val="0"/>
                                          <w:marRight w:val="0"/>
                                          <w:marTop w:val="0"/>
                                          <w:marBottom w:val="0"/>
                                          <w:divBdr>
                                            <w:top w:val="none" w:sz="0" w:space="0" w:color="auto"/>
                                            <w:left w:val="none" w:sz="0" w:space="0" w:color="auto"/>
                                            <w:bottom w:val="none" w:sz="0" w:space="0" w:color="auto"/>
                                            <w:right w:val="none" w:sz="0" w:space="0" w:color="auto"/>
                                          </w:divBdr>
                                          <w:divsChild>
                                            <w:div w:id="1930311113">
                                              <w:marLeft w:val="0"/>
                                              <w:marRight w:val="0"/>
                                              <w:marTop w:val="0"/>
                                              <w:marBottom w:val="0"/>
                                              <w:divBdr>
                                                <w:top w:val="none" w:sz="0" w:space="0" w:color="auto"/>
                                                <w:left w:val="none" w:sz="0" w:space="0" w:color="auto"/>
                                                <w:bottom w:val="none" w:sz="0" w:space="0" w:color="auto"/>
                                                <w:right w:val="none" w:sz="0" w:space="0" w:color="auto"/>
                                              </w:divBdr>
                                            </w:div>
                                          </w:divsChild>
                                        </w:div>
                                        <w:div w:id="928662499">
                                          <w:marLeft w:val="0"/>
                                          <w:marRight w:val="0"/>
                                          <w:marTop w:val="0"/>
                                          <w:marBottom w:val="0"/>
                                          <w:divBdr>
                                            <w:top w:val="none" w:sz="0" w:space="0" w:color="auto"/>
                                            <w:left w:val="none" w:sz="0" w:space="0" w:color="auto"/>
                                            <w:bottom w:val="none" w:sz="0" w:space="0" w:color="auto"/>
                                            <w:right w:val="none" w:sz="0" w:space="0" w:color="auto"/>
                                          </w:divBdr>
                                          <w:divsChild>
                                            <w:div w:id="478228962">
                                              <w:marLeft w:val="0"/>
                                              <w:marRight w:val="0"/>
                                              <w:marTop w:val="0"/>
                                              <w:marBottom w:val="0"/>
                                              <w:divBdr>
                                                <w:top w:val="none" w:sz="0" w:space="0" w:color="auto"/>
                                                <w:left w:val="none" w:sz="0" w:space="0" w:color="auto"/>
                                                <w:bottom w:val="none" w:sz="0" w:space="0" w:color="auto"/>
                                                <w:right w:val="none" w:sz="0" w:space="0" w:color="auto"/>
                                              </w:divBdr>
                                            </w:div>
                                          </w:divsChild>
                                        </w:div>
                                        <w:div w:id="1318535613">
                                          <w:marLeft w:val="0"/>
                                          <w:marRight w:val="0"/>
                                          <w:marTop w:val="0"/>
                                          <w:marBottom w:val="0"/>
                                          <w:divBdr>
                                            <w:top w:val="none" w:sz="0" w:space="0" w:color="auto"/>
                                            <w:left w:val="none" w:sz="0" w:space="0" w:color="auto"/>
                                            <w:bottom w:val="none" w:sz="0" w:space="0" w:color="auto"/>
                                            <w:right w:val="none" w:sz="0" w:space="0" w:color="auto"/>
                                          </w:divBdr>
                                          <w:divsChild>
                                            <w:div w:id="1874539305">
                                              <w:marLeft w:val="0"/>
                                              <w:marRight w:val="0"/>
                                              <w:marTop w:val="0"/>
                                              <w:marBottom w:val="0"/>
                                              <w:divBdr>
                                                <w:top w:val="none" w:sz="0" w:space="0" w:color="auto"/>
                                                <w:left w:val="none" w:sz="0" w:space="0" w:color="auto"/>
                                                <w:bottom w:val="none" w:sz="0" w:space="0" w:color="auto"/>
                                                <w:right w:val="none" w:sz="0" w:space="0" w:color="auto"/>
                                              </w:divBdr>
                                            </w:div>
                                          </w:divsChild>
                                        </w:div>
                                        <w:div w:id="1131048184">
                                          <w:marLeft w:val="0"/>
                                          <w:marRight w:val="0"/>
                                          <w:marTop w:val="0"/>
                                          <w:marBottom w:val="0"/>
                                          <w:divBdr>
                                            <w:top w:val="none" w:sz="0" w:space="0" w:color="auto"/>
                                            <w:left w:val="none" w:sz="0" w:space="0" w:color="auto"/>
                                            <w:bottom w:val="none" w:sz="0" w:space="0" w:color="auto"/>
                                            <w:right w:val="none" w:sz="0" w:space="0" w:color="auto"/>
                                          </w:divBdr>
                                          <w:divsChild>
                                            <w:div w:id="2126348042">
                                              <w:marLeft w:val="0"/>
                                              <w:marRight w:val="0"/>
                                              <w:marTop w:val="0"/>
                                              <w:marBottom w:val="0"/>
                                              <w:divBdr>
                                                <w:top w:val="none" w:sz="0" w:space="0" w:color="auto"/>
                                                <w:left w:val="none" w:sz="0" w:space="0" w:color="auto"/>
                                                <w:bottom w:val="none" w:sz="0" w:space="0" w:color="auto"/>
                                                <w:right w:val="none" w:sz="0" w:space="0" w:color="auto"/>
                                              </w:divBdr>
                                            </w:div>
                                          </w:divsChild>
                                        </w:div>
                                        <w:div w:id="400625">
                                          <w:marLeft w:val="0"/>
                                          <w:marRight w:val="0"/>
                                          <w:marTop w:val="0"/>
                                          <w:marBottom w:val="0"/>
                                          <w:divBdr>
                                            <w:top w:val="none" w:sz="0" w:space="0" w:color="auto"/>
                                            <w:left w:val="none" w:sz="0" w:space="0" w:color="auto"/>
                                            <w:bottom w:val="none" w:sz="0" w:space="0" w:color="auto"/>
                                            <w:right w:val="none" w:sz="0" w:space="0" w:color="auto"/>
                                          </w:divBdr>
                                          <w:divsChild>
                                            <w:div w:id="6181847">
                                              <w:marLeft w:val="0"/>
                                              <w:marRight w:val="0"/>
                                              <w:marTop w:val="0"/>
                                              <w:marBottom w:val="0"/>
                                              <w:divBdr>
                                                <w:top w:val="none" w:sz="0" w:space="0" w:color="auto"/>
                                                <w:left w:val="none" w:sz="0" w:space="0" w:color="auto"/>
                                                <w:bottom w:val="none" w:sz="0" w:space="0" w:color="auto"/>
                                                <w:right w:val="none" w:sz="0" w:space="0" w:color="auto"/>
                                              </w:divBdr>
                                            </w:div>
                                          </w:divsChild>
                                        </w:div>
                                        <w:div w:id="1268077965">
                                          <w:marLeft w:val="0"/>
                                          <w:marRight w:val="0"/>
                                          <w:marTop w:val="0"/>
                                          <w:marBottom w:val="0"/>
                                          <w:divBdr>
                                            <w:top w:val="none" w:sz="0" w:space="0" w:color="auto"/>
                                            <w:left w:val="none" w:sz="0" w:space="0" w:color="auto"/>
                                            <w:bottom w:val="none" w:sz="0" w:space="0" w:color="auto"/>
                                            <w:right w:val="none" w:sz="0" w:space="0" w:color="auto"/>
                                          </w:divBdr>
                                          <w:divsChild>
                                            <w:div w:id="1753624661">
                                              <w:marLeft w:val="0"/>
                                              <w:marRight w:val="0"/>
                                              <w:marTop w:val="0"/>
                                              <w:marBottom w:val="0"/>
                                              <w:divBdr>
                                                <w:top w:val="none" w:sz="0" w:space="0" w:color="auto"/>
                                                <w:left w:val="none" w:sz="0" w:space="0" w:color="auto"/>
                                                <w:bottom w:val="none" w:sz="0" w:space="0" w:color="auto"/>
                                                <w:right w:val="none" w:sz="0" w:space="0" w:color="auto"/>
                                              </w:divBdr>
                                            </w:div>
                                          </w:divsChild>
                                        </w:div>
                                        <w:div w:id="225067565">
                                          <w:marLeft w:val="0"/>
                                          <w:marRight w:val="0"/>
                                          <w:marTop w:val="0"/>
                                          <w:marBottom w:val="0"/>
                                          <w:divBdr>
                                            <w:top w:val="none" w:sz="0" w:space="0" w:color="auto"/>
                                            <w:left w:val="none" w:sz="0" w:space="0" w:color="auto"/>
                                            <w:bottom w:val="none" w:sz="0" w:space="0" w:color="auto"/>
                                            <w:right w:val="none" w:sz="0" w:space="0" w:color="auto"/>
                                          </w:divBdr>
                                          <w:divsChild>
                                            <w:div w:id="433787712">
                                              <w:marLeft w:val="0"/>
                                              <w:marRight w:val="0"/>
                                              <w:marTop w:val="0"/>
                                              <w:marBottom w:val="0"/>
                                              <w:divBdr>
                                                <w:top w:val="none" w:sz="0" w:space="0" w:color="auto"/>
                                                <w:left w:val="none" w:sz="0" w:space="0" w:color="auto"/>
                                                <w:bottom w:val="none" w:sz="0" w:space="0" w:color="auto"/>
                                                <w:right w:val="none" w:sz="0" w:space="0" w:color="auto"/>
                                              </w:divBdr>
                                            </w:div>
                                          </w:divsChild>
                                        </w:div>
                                        <w:div w:id="1759449632">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 w:id="1968505884">
                                          <w:marLeft w:val="0"/>
                                          <w:marRight w:val="0"/>
                                          <w:marTop w:val="0"/>
                                          <w:marBottom w:val="0"/>
                                          <w:divBdr>
                                            <w:top w:val="none" w:sz="0" w:space="0" w:color="auto"/>
                                            <w:left w:val="none" w:sz="0" w:space="0" w:color="auto"/>
                                            <w:bottom w:val="none" w:sz="0" w:space="0" w:color="auto"/>
                                            <w:right w:val="none" w:sz="0" w:space="0" w:color="auto"/>
                                          </w:divBdr>
                                          <w:divsChild>
                                            <w:div w:id="1529828671">
                                              <w:marLeft w:val="0"/>
                                              <w:marRight w:val="0"/>
                                              <w:marTop w:val="0"/>
                                              <w:marBottom w:val="0"/>
                                              <w:divBdr>
                                                <w:top w:val="none" w:sz="0" w:space="0" w:color="auto"/>
                                                <w:left w:val="none" w:sz="0" w:space="0" w:color="auto"/>
                                                <w:bottom w:val="none" w:sz="0" w:space="0" w:color="auto"/>
                                                <w:right w:val="none" w:sz="0" w:space="0" w:color="auto"/>
                                              </w:divBdr>
                                            </w:div>
                                          </w:divsChild>
                                        </w:div>
                                        <w:div w:id="1435664016">
                                          <w:marLeft w:val="0"/>
                                          <w:marRight w:val="0"/>
                                          <w:marTop w:val="0"/>
                                          <w:marBottom w:val="0"/>
                                          <w:divBdr>
                                            <w:top w:val="none" w:sz="0" w:space="0" w:color="auto"/>
                                            <w:left w:val="none" w:sz="0" w:space="0" w:color="auto"/>
                                            <w:bottom w:val="none" w:sz="0" w:space="0" w:color="auto"/>
                                            <w:right w:val="none" w:sz="0" w:space="0" w:color="auto"/>
                                          </w:divBdr>
                                          <w:divsChild>
                                            <w:div w:id="1017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38447">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sChild>
                        <w:div w:id="1689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lanningschemecommenced?pointId=s1414726382511" TargetMode="External"/><Relationship Id="rId18" Type="http://schemas.openxmlformats.org/officeDocument/2006/relationships/hyperlink" Target="http://consult.moretonbay.qld.gov.au/portal/mbrcplanningschemecommenced?pointId=s1414726382511" TargetMode="External"/><Relationship Id="rId26" Type="http://schemas.openxmlformats.org/officeDocument/2006/relationships/hyperlink" Target="http://consult.moretonbay.qld.gov.au/portal/mbrcplanningschemecommenced?pointId=s1414726382511" TargetMode="External"/><Relationship Id="rId39"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consult.moretonbay.qld.gov.au/portal/mbrcplanningschemecommenced?pointId=s1414726382511" TargetMode="External"/><Relationship Id="rId34" Type="http://schemas.openxmlformats.org/officeDocument/2006/relationships/hyperlink" Target="http://consult.moretonbay.qld.gov.au/portal/mbrcplanningschemecommenced?pointId=s1332743658181" TargetMode="External"/><Relationship Id="rId42" Type="http://schemas.openxmlformats.org/officeDocument/2006/relationships/image" Target="media/image8.emf"/><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hyperlink" Target="http://consult.moretonbay.qld.gov.au/portal/mbrcplanningschemecommenced?pointId=s1332743658181" TargetMode="External"/><Relationship Id="rId12" Type="http://schemas.openxmlformats.org/officeDocument/2006/relationships/hyperlink" Target="http://consult.moretonbay.qld.gov.au/portal/mbrcplanningschemecommenced?pointId=s1414726382511" TargetMode="External"/><Relationship Id="rId17" Type="http://schemas.openxmlformats.org/officeDocument/2006/relationships/hyperlink" Target="http://consult.moretonbay.qld.gov.au/portal/mbrcplanningschemecommenced?pointId=s1414726382511" TargetMode="External"/><Relationship Id="rId25" Type="http://schemas.openxmlformats.org/officeDocument/2006/relationships/hyperlink" Target="http://consult.moretonbay.qld.gov.au/portal/mbrcplanningschemecommenced?pointId=s1414726382511" TargetMode="External"/><Relationship Id="rId33" Type="http://schemas.openxmlformats.org/officeDocument/2006/relationships/hyperlink" Target="http://consult.moretonbay.qld.gov.au/portal/mbrcplanningschemecommenced?pointId=s1332743658181" TargetMode="External"/><Relationship Id="rId38" Type="http://schemas.openxmlformats.org/officeDocument/2006/relationships/image" Target="media/image4.emf"/><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consult.moretonbay.qld.gov.au/portal/mbrcplanningschemecommenced?pointId=s1414726382511" TargetMode="External"/><Relationship Id="rId20" Type="http://schemas.openxmlformats.org/officeDocument/2006/relationships/hyperlink" Target="http://consult.moretonbay.qld.gov.au/portal/mbrcplanningschemecommenced?pointId=s1414726382511" TargetMode="External"/><Relationship Id="rId29" Type="http://schemas.openxmlformats.org/officeDocument/2006/relationships/hyperlink" Target="http://consult.moretonbay.qld.gov.au/portal/mbrcplanningschemecommenced?pointId=s1332743658181"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lanningschemecommenced?pointId=s1414726382511" TargetMode="External"/><Relationship Id="rId24" Type="http://schemas.openxmlformats.org/officeDocument/2006/relationships/hyperlink" Target="http://consult.moretonbay.qld.gov.au/portal/mbrcplanningschemecommenced?pointId=s1414726382511" TargetMode="External"/><Relationship Id="rId32" Type="http://schemas.openxmlformats.org/officeDocument/2006/relationships/hyperlink" Target="http://consult.moretonbay.qld.gov.au/portal/mbrcplanningschemecommenced?pointId=s1332743658181"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moretonbay.qld.gov.au/floodcheck/" TargetMode="External"/><Relationship Id="rId23" Type="http://schemas.openxmlformats.org/officeDocument/2006/relationships/hyperlink" Target="http://consult.moretonbay.qld.gov.au/portal/mbrcplanningschemecommenced?pointId=s1332743658181" TargetMode="External"/><Relationship Id="rId28" Type="http://schemas.openxmlformats.org/officeDocument/2006/relationships/hyperlink" Target="http://consult.moretonbay.qld.gov.au/portal/mbrcplanningschemecommenced?pointId=s1414726382511" TargetMode="External"/><Relationship Id="rId36" Type="http://schemas.openxmlformats.org/officeDocument/2006/relationships/image" Target="media/image2.emf"/><Relationship Id="rId49" Type="http://schemas.openxmlformats.org/officeDocument/2006/relationships/header" Target="header3.xml"/><Relationship Id="rId10" Type="http://schemas.openxmlformats.org/officeDocument/2006/relationships/hyperlink" Target="https://www.moretonbay.qld.gov.au/floodcheck/" TargetMode="External"/><Relationship Id="rId19" Type="http://schemas.openxmlformats.org/officeDocument/2006/relationships/hyperlink" Target="http://www.hpw.qld.gov.au/SiteCollectionDocuments/WaterResilientProductsAndBuildingTechniquesForRebuildingAfterAFlood.pdf" TargetMode="External"/><Relationship Id="rId31" Type="http://schemas.openxmlformats.org/officeDocument/2006/relationships/hyperlink" Target="http://consult.moretonbay.qld.gov.au/portal/mbrcplanningschemecommenced?pointId=s1332743658181" TargetMode="External"/><Relationship Id="rId44" Type="http://schemas.openxmlformats.org/officeDocument/2006/relationships/image" Target="media/image10.emf"/><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onsult.moretonbay.qld.gov.au/portal/mbrcplanningschemecommenced?pointId=s1332743658181" TargetMode="External"/><Relationship Id="rId14" Type="http://schemas.openxmlformats.org/officeDocument/2006/relationships/hyperlink" Target="http://consult.moretonbay.qld.gov.au/portal/mbrcplanningschemecommenced?pointId=s1414726382511" TargetMode="External"/><Relationship Id="rId22" Type="http://schemas.openxmlformats.org/officeDocument/2006/relationships/hyperlink" Target="http://consult.moretonbay.qld.gov.au/portal/mbrcplanningschemecommenced?pointId=s1414726382511" TargetMode="External"/><Relationship Id="rId27" Type="http://schemas.openxmlformats.org/officeDocument/2006/relationships/hyperlink" Target="http://consult.moretonbay.qld.gov.au/portal/mbrcplanningschemecommenced?pointId=s1414726382511" TargetMode="External"/><Relationship Id="rId30" Type="http://schemas.openxmlformats.org/officeDocument/2006/relationships/hyperlink" Target="http://consult.moretonbay.qld.gov.au/portal/mbrcplanningschemecommenced?pointId=s1332743658181" TargetMode="External"/><Relationship Id="rId35" Type="http://schemas.openxmlformats.org/officeDocument/2006/relationships/image" Target="media/image1.jpeg"/><Relationship Id="rId43" Type="http://schemas.openxmlformats.org/officeDocument/2006/relationships/image" Target="media/image9.jpeg"/><Relationship Id="rId48" Type="http://schemas.openxmlformats.org/officeDocument/2006/relationships/footer" Target="footer2.xml"/><Relationship Id="rId8" Type="http://schemas.openxmlformats.org/officeDocument/2006/relationships/hyperlink" Target="http://consult.moretonbay.qld.gov.au/portal/mbrcplanningschemecommenced?pointId=s1332743658181"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5970</Words>
  <Characters>34030</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Overlay code flood hazard assessable</vt:lpstr>
    </vt:vector>
  </TitlesOfParts>
  <Company>Moreton Bay Regional Council</Company>
  <LinksUpToDate>false</LinksUpToDate>
  <CharactersWithSpaces>39921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Overlay code flood hazard assessable</dc:title>
  <dc:subject/>
  <cp:keywords/>
  <dc:description/>
  <cp:revision>4</cp:revision>
  <dcterms:created xsi:type="dcterms:W3CDTF">2024-10-31T06:12:00Z</dcterms:created>
  <dcterms:modified xsi:type="dcterms:W3CDTF">2024-10-31T23:54:00Z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A19423259</vt:lpwstr>
  </property>
  <property fmtid="{D5CDD505-2E9C-101B-9397-08002B2CF9AE}" pid="4" name="Objective-Title">
    <vt:lpwstr>8.2.2 Flood Hazard Overlay Code - Assessable UPDATED</vt:lpwstr>
  </property>
  <property fmtid="{D5CDD505-2E9C-101B-9397-08002B2CF9AE}" pid="5" name="Objective-Comment">
    <vt:lpwstr/>
  </property>
  <property fmtid="{D5CDD505-2E9C-101B-9397-08002B2CF9AE}" pid="6" name="Objective-CreationStamp">
    <vt:filetime>2019-12-03T01:40:54Z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2020-01-06T06:11:33Z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