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AD3631" w:rsidRPr="00AD3631" w14:paraId="7648317D" w14:textId="77777777" w:rsidTr="00AD3631">
        <w:trPr>
          <w:tblCellSpacing w:w="15" w:type="dxa"/>
          <w:jc w:val="center"/>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7D09A692" w14:textId="77777777"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Table 9.4.4.3 Assessable development - Advertising devices</w:t>
            </w:r>
          </w:p>
        </w:tc>
      </w:tr>
    </w:tbl>
    <w:p w14:paraId="4A9F76EE" w14:textId="77777777" w:rsidR="00AD3631" w:rsidRDefault="00AD3631"/>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3"/>
        <w:gridCol w:w="39"/>
        <w:gridCol w:w="5054"/>
        <w:gridCol w:w="100"/>
        <w:gridCol w:w="1620"/>
        <w:gridCol w:w="97"/>
        <w:gridCol w:w="3749"/>
      </w:tblGrid>
      <w:tr w:rsidR="00AD3631" w:rsidRPr="00AD3631" w14:paraId="4EA4FBDF" w14:textId="77777777"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2A25F4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Performance outcomes</w:t>
            </w:r>
          </w:p>
        </w:tc>
        <w:tc>
          <w:tcPr>
            <w:tcW w:w="1669"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A2EFAD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Examples that achieve aspects of the Performance Outcomes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14:paraId="475908B4" w14:textId="77777777" w:rsidR="00AD3631" w:rsidRPr="002A3213" w:rsidRDefault="00AD3631" w:rsidP="00AD3631">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3DAFC6FE" w14:textId="77777777" w:rsidR="00AD3631" w:rsidRPr="008B6E1B" w:rsidRDefault="00AD3631" w:rsidP="00AD3631">
            <w:pPr>
              <w:pStyle w:val="ListParagraph"/>
              <w:numPr>
                <w:ilvl w:val="0"/>
                <w:numId w:val="3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1B71E3CE" w14:textId="77777777"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14:paraId="7B3D0E07" w14:textId="77777777"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199" w:type="pct"/>
            <w:tcBorders>
              <w:top w:val="outset" w:sz="6" w:space="0" w:color="auto"/>
              <w:left w:val="outset" w:sz="6" w:space="0" w:color="auto"/>
              <w:bottom w:val="outset" w:sz="6" w:space="0" w:color="auto"/>
              <w:right w:val="outset" w:sz="6" w:space="0" w:color="auto"/>
            </w:tcBorders>
            <w:shd w:val="clear" w:color="auto" w:fill="CCCCCC"/>
          </w:tcPr>
          <w:p w14:paraId="70502B9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0366C" w:rsidRPr="00AD3631" w14:paraId="2DC66305" w14:textId="77777777" w:rsidTr="0030366C">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A5F86E2" w14:textId="77777777" w:rsidR="0030366C" w:rsidRPr="00AD3631" w:rsidRDefault="0030366C" w:rsidP="0030366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D3631">
              <w:rPr>
                <w:rFonts w:ascii="Arial" w:eastAsia="Times New Roman" w:hAnsi="Arial" w:cs="Arial"/>
                <w:b/>
                <w:bCs/>
                <w:sz w:val="20"/>
                <w:szCs w:val="20"/>
                <w:lang w:eastAsia="en-AU"/>
              </w:rPr>
              <w:t>General</w:t>
            </w:r>
          </w:p>
        </w:tc>
      </w:tr>
      <w:tr w:rsidR="00AD3631" w:rsidRPr="00AD3631" w14:paraId="0D746283" w14:textId="77777777" w:rsidTr="00684836">
        <w:trPr>
          <w:trHeight w:val="3465"/>
          <w:tblCellSpacing w:w="15" w:type="dxa"/>
          <w:jc w:val="center"/>
        </w:trPr>
        <w:tc>
          <w:tcPr>
            <w:tcW w:w="1539"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D18545"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w:t>
            </w:r>
          </w:p>
          <w:p w14:paraId="36F2625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are of an appropriate number, type, design, scale, height and location to:</w:t>
            </w:r>
          </w:p>
          <w:p w14:paraId="0BB44967" w14:textId="77777777"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contribute to visual clutter or be overbearing or visually dominant;</w:t>
            </w:r>
          </w:p>
          <w:p w14:paraId="1E70B010" w14:textId="77777777"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complement the existing and future planned character and amenity of the area in which it is located;</w:t>
            </w:r>
          </w:p>
          <w:p w14:paraId="641F1FC4" w14:textId="77777777"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maintain a human scale and not detract from or interfere with the form and function of a pedestrian friendly environment;</w:t>
            </w:r>
          </w:p>
          <w:p w14:paraId="191286C2" w14:textId="77777777"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be compatible with the surrounding streetscape and landscape. Advertising devices should be considered as another design element, which integrate with the architecture, scale, proportions and style of buildings, landscaping, structures and other Advertising devices located both within and surrounding the site; </w:t>
            </w:r>
          </w:p>
          <w:p w14:paraId="76C8912C" w14:textId="77777777"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minimise any potential adverse impacts on adjoining sites, such as overshadowing or the loss of key views and view corridors;</w:t>
            </w:r>
          </w:p>
          <w:p w14:paraId="077636E1" w14:textId="77777777" w:rsid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 diminish or cause irreversible damage to any cultural heritage values present on the site or those associated with a heritage site, item or object. </w:t>
            </w:r>
          </w:p>
          <w:p w14:paraId="5D240CCF" w14:textId="77777777" w:rsidR="000D4047" w:rsidRPr="000D4047" w:rsidRDefault="000D4047" w:rsidP="000D4047">
            <w:pPr>
              <w:rPr>
                <w:rFonts w:ascii="Arial" w:eastAsia="Times New Roman" w:hAnsi="Arial" w:cs="Arial"/>
                <w:sz w:val="20"/>
                <w:szCs w:val="20"/>
                <w:lang w:eastAsia="en-AU"/>
              </w:rPr>
            </w:pPr>
          </w:p>
          <w:p w14:paraId="4B0C4E72" w14:textId="77777777" w:rsidR="000D4047" w:rsidRDefault="000D4047" w:rsidP="000D4047">
            <w:pPr>
              <w:rPr>
                <w:rFonts w:ascii="Arial" w:eastAsia="Times New Roman" w:hAnsi="Arial" w:cs="Arial"/>
                <w:sz w:val="20"/>
                <w:szCs w:val="20"/>
                <w:lang w:eastAsia="en-AU"/>
              </w:rPr>
            </w:pPr>
          </w:p>
          <w:p w14:paraId="322A3ECF" w14:textId="3D8500EB" w:rsidR="00CE6481" w:rsidRPr="00CE6481" w:rsidRDefault="00637485" w:rsidP="00637485">
            <w:pPr>
              <w:tabs>
                <w:tab w:val="left" w:pos="3467"/>
              </w:tabs>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1669"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9B86B6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E1.1</w:t>
            </w:r>
          </w:p>
          <w:p w14:paraId="52FD575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in the form of one or more of the following types:</w:t>
            </w:r>
          </w:p>
          <w:p w14:paraId="5C0B6C6E" w14:textId="77777777"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awning;</w:t>
            </w:r>
          </w:p>
          <w:p w14:paraId="3D4BA608" w14:textId="77777777"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fence;</w:t>
            </w:r>
          </w:p>
          <w:p w14:paraId="1A2D543B" w14:textId="77777777"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freestanding;</w:t>
            </w:r>
          </w:p>
          <w:p w14:paraId="58050E4F" w14:textId="77777777"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projecting;</w:t>
            </w:r>
          </w:p>
          <w:p w14:paraId="5502D35A" w14:textId="77777777"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roof;</w:t>
            </w:r>
          </w:p>
          <w:p w14:paraId="6872F7B0" w14:textId="77777777"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wall/façade.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73"/>
            </w:tblGrid>
            <w:tr w:rsidR="00AD3631" w:rsidRPr="00AD3631" w14:paraId="7A0E7EF7" w14:textId="77777777" w:rsidTr="00AD3631">
              <w:trPr>
                <w:tblCellSpacing w:w="15" w:type="dxa"/>
              </w:trPr>
              <w:tc>
                <w:tcPr>
                  <w:tcW w:w="4538" w:type="dxa"/>
                  <w:vAlign w:val="center"/>
                  <w:hideMark/>
                </w:tcPr>
                <w:p w14:paraId="1D950C8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684836">
                    <w:rPr>
                      <w:rFonts w:ascii="Arial" w:eastAsia="Times New Roman" w:hAnsi="Arial" w:cs="Arial"/>
                      <w:sz w:val="18"/>
                      <w:szCs w:val="20"/>
                      <w:lang w:eastAsia="en-AU"/>
                    </w:rPr>
                    <w:t>Note - Refer to Planning scheme policy – Advertising devices (section 2) for guidance on satisfying the above criteria.</w:t>
                  </w:r>
                </w:p>
              </w:tc>
            </w:tr>
          </w:tbl>
          <w:p w14:paraId="1929C776"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5" w:type="pct"/>
            <w:gridSpan w:val="2"/>
            <w:tcBorders>
              <w:top w:val="outset" w:sz="6" w:space="0" w:color="auto"/>
              <w:left w:val="outset" w:sz="6" w:space="0" w:color="auto"/>
              <w:bottom w:val="outset" w:sz="6" w:space="0" w:color="auto"/>
              <w:right w:val="outset" w:sz="6" w:space="0" w:color="auto"/>
            </w:tcBorders>
          </w:tcPr>
          <w:p w14:paraId="72D5CBE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0EFCA5E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267EC698" w14:textId="77777777" w:rsidTr="00684836">
        <w:trPr>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14:paraId="44F3F0CA"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14:paraId="5D694DD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E1.2</w:t>
            </w:r>
          </w:p>
          <w:p w14:paraId="2BDD51B5"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5" w:type="pct"/>
            <w:gridSpan w:val="2"/>
            <w:tcBorders>
              <w:top w:val="outset" w:sz="6" w:space="0" w:color="auto"/>
              <w:left w:val="outset" w:sz="6" w:space="0" w:color="auto"/>
              <w:bottom w:val="outset" w:sz="6" w:space="0" w:color="auto"/>
              <w:right w:val="outset" w:sz="6" w:space="0" w:color="auto"/>
            </w:tcBorders>
          </w:tcPr>
          <w:p w14:paraId="6494639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2BBDAC1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2573F946" w14:textId="77777777" w:rsidTr="00684836">
        <w:trPr>
          <w:trHeight w:val="119"/>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14:paraId="68957475"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14:paraId="48A1920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E1.3</w:t>
            </w:r>
          </w:p>
          <w:p w14:paraId="796C1B7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total combined signface area of all Advertising devices on the site complies with the following table: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33"/>
            </w:tblGrid>
            <w:tr w:rsidR="00AD3631" w:rsidRPr="00AD3631" w14:paraId="4F527B06" w14:textId="77777777" w:rsidTr="00AD3631">
              <w:trPr>
                <w:tblCellSpacing w:w="15" w:type="dxa"/>
              </w:trPr>
              <w:tc>
                <w:tcPr>
                  <w:tcW w:w="4598" w:type="dxa"/>
                  <w:vAlign w:val="center"/>
                  <w:hideMark/>
                </w:tcPr>
                <w:p w14:paraId="436686E9" w14:textId="77777777"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Note - The total combined signface area includes any existing Advertising devices located on the site.</w:t>
                  </w:r>
                </w:p>
              </w:tc>
            </w:tr>
            <w:tr w:rsidR="00AD3631" w:rsidRPr="00AD3631" w14:paraId="629A8CF3" w14:textId="77777777" w:rsidTr="00AD3631">
              <w:trPr>
                <w:trHeight w:val="2760"/>
                <w:tblCellSpacing w:w="15" w:type="dxa"/>
              </w:trPr>
              <w:tc>
                <w:tcPr>
                  <w:tcW w:w="4598" w:type="dxa"/>
                  <w:vAlign w:val="center"/>
                  <w:hideMark/>
                </w:tcPr>
                <w:p w14:paraId="2A4681FA" w14:textId="77777777"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lastRenderedPageBreak/>
                    <w:t>Note - For sign face area calculation purposes:</w:t>
                  </w:r>
                </w:p>
                <w:p w14:paraId="6DF523C4" w14:textId="77777777"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Where Advertising devices feature 2 display faces with an internal angle of 45 degrees or less, only one of the display faces forms part of the maximum total sign face area calculation. </w:t>
                  </w:r>
                </w:p>
                <w:p w14:paraId="706A0F23" w14:textId="77777777"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Advertising devices that feature 2 display faces with an internal angle greater than 45 degrees must calculate each display face as a separate sign face area. </w:t>
                  </w:r>
                </w:p>
                <w:p w14:paraId="2FD39226" w14:textId="77777777"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Advertising devices that include more than 2 display faces must calculate the additional display faces as separate signface area. </w:t>
                  </w:r>
                </w:p>
              </w:tc>
            </w:tr>
          </w:tbl>
          <w:p w14:paraId="5E1E3B9D" w14:textId="77777777" w:rsidR="00AD3631" w:rsidRPr="00AD3631" w:rsidRDefault="00AD3631" w:rsidP="00AD3631">
            <w:pPr>
              <w:spacing w:before="100" w:beforeAutospacing="1" w:after="100" w:afterAutospacing="1" w:line="240" w:lineRule="auto"/>
              <w:rPr>
                <w:rFonts w:ascii="Arial" w:eastAsia="Times New Roman" w:hAnsi="Arial" w:cs="Arial"/>
                <w:vanish/>
                <w:sz w:val="20"/>
                <w:szCs w:val="20"/>
                <w:lang w:eastAsia="en-AU"/>
              </w:rPr>
            </w:pPr>
          </w:p>
          <w:tbl>
            <w:tblPr>
              <w:tblW w:w="4984" w:type="pct"/>
              <w:tblCellSpacing w:w="15" w:type="dxa"/>
              <w:tblInd w:w="8" w:type="dxa"/>
              <w:tblLayout w:type="fixed"/>
              <w:tblCellMar>
                <w:top w:w="30" w:type="dxa"/>
                <w:left w:w="30" w:type="dxa"/>
                <w:bottom w:w="30" w:type="dxa"/>
                <w:right w:w="30" w:type="dxa"/>
              </w:tblCellMar>
              <w:tblLook w:val="04A0" w:firstRow="1" w:lastRow="0" w:firstColumn="1" w:lastColumn="0" w:noHBand="0" w:noVBand="1"/>
              <w:tblDescription w:val=""/>
            </w:tblPr>
            <w:tblGrid>
              <w:gridCol w:w="5117"/>
            </w:tblGrid>
            <w:tr w:rsidR="00AD3631" w:rsidRPr="00AD3631" w14:paraId="1C85B84E" w14:textId="77777777" w:rsidTr="00AD3631">
              <w:trPr>
                <w:tblCellSpacing w:w="15" w:type="dxa"/>
              </w:trPr>
              <w:tc>
                <w:tcPr>
                  <w:tcW w:w="4994" w:type="dxa"/>
                  <w:vAlign w:val="center"/>
                  <w:hideMark/>
                </w:tcPr>
                <w:p w14:paraId="48E1E11C" w14:textId="77777777"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Note - Refer to Planning scheme policy – Advertising devices (section 3) for signface area calculation.</w:t>
                  </w:r>
                </w:p>
              </w:tc>
            </w:tr>
          </w:tbl>
          <w:p w14:paraId="50FC469A" w14:textId="77777777" w:rsidR="00AD3631" w:rsidRDefault="00AD3631"/>
          <w:tbl>
            <w:tblPr>
              <w:tblW w:w="4911" w:type="pct"/>
              <w:tblCellSpacing w:w="15" w:type="dxa"/>
              <w:tblInd w:w="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766"/>
              <w:gridCol w:w="2260"/>
            </w:tblGrid>
            <w:tr w:rsidR="00AD3631" w:rsidRPr="00AD3631" w14:paraId="613203EF" w14:textId="77777777" w:rsidTr="00AD3631">
              <w:trPr>
                <w:tblCellSpacing w:w="15" w:type="dxa"/>
              </w:trPr>
              <w:tc>
                <w:tcPr>
                  <w:tcW w:w="270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792D599C"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220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5BD3A371" w14:textId="77777777"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Total combined signface area</w:t>
                  </w:r>
                </w:p>
              </w:tc>
            </w:tr>
            <w:tr w:rsidR="00AD3631" w:rsidRPr="00AD3631" w14:paraId="5F5A1CF5" w14:textId="77777777" w:rsidTr="00AD3631">
              <w:trPr>
                <w:tblCellSpacing w:w="15" w:type="dxa"/>
              </w:trPr>
              <w:tc>
                <w:tcPr>
                  <w:tcW w:w="27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6CDD884" w14:textId="77777777"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14:paraId="31F820FD" w14:textId="77777777"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14:paraId="17164601" w14:textId="77777777"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14:paraId="4C8861C4" w14:textId="77777777"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14:paraId="271B6808" w14:textId="77777777"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14:paraId="6172CDDA"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14:paraId="0C5000F6"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14:paraId="74418BE5"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Urban living precinct – Local centre sub-precinct</w:t>
                  </w:r>
                </w:p>
                <w:p w14:paraId="11A0C8AE"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14:paraId="603F71AF"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14:paraId="7CF9226F" w14:textId="77777777"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14:paraId="7CAAF0AF"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14:paraId="44E06D39"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14:paraId="70CB0317"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14:paraId="37426BF6"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14:paraId="0A3497B5"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14:paraId="1EACBE57" w14:textId="77777777"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on a lot identified for Community activities and Neighbourhood hubs</w:t>
                  </w:r>
                </w:p>
                <w:p w14:paraId="640EE34C" w14:textId="77777777"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Woodfordia local plan – all precincts</w:t>
                  </w:r>
                </w:p>
              </w:tc>
              <w:tc>
                <w:tcPr>
                  <w:tcW w:w="2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32D6B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29"/>
                  </w:tblGrid>
                  <w:tr w:rsidR="00AD3631" w:rsidRPr="00AD3631" w14:paraId="235D2A34" w14:textId="77777777" w:rsidTr="00AD3631">
                    <w:trPr>
                      <w:tblCellSpacing w:w="15" w:type="dxa"/>
                    </w:trPr>
                    <w:tc>
                      <w:tcPr>
                        <w:tcW w:w="1669" w:type="dxa"/>
                        <w:vAlign w:val="center"/>
                        <w:hideMark/>
                      </w:tcPr>
                      <w:p w14:paraId="7B63165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The figures above exclude awning and wall/facade Advertising device types.</w:t>
                        </w:r>
                      </w:p>
                    </w:tc>
                  </w:tr>
                </w:tbl>
                <w:p w14:paraId="4828C6A9"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14:paraId="1C5320D4" w14:textId="77777777"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14:paraId="1F15BB7F" w14:textId="77777777"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Emerging community, General residential - if not on a lot identified on Overlay map – Community activities and neighbourhood hubs </w:t>
                  </w:r>
                </w:p>
                <w:p w14:paraId="1FC6BE79" w14:textId="77777777"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14:paraId="2685D870" w14:textId="77777777"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 Residential precinct</w:t>
                  </w:r>
                </w:p>
                <w:p w14:paraId="77CD082A" w14:textId="77777777"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14:paraId="0FBF3E67" w14:textId="77777777"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14:paraId="36C9B4BC" w14:textId="77777777"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14:paraId="7327566D" w14:textId="77777777"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14:paraId="472B9466" w14:textId="77777777"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not on a lot identified for Community activities and Neighbourhood hubs</w:t>
                  </w:r>
                </w:p>
              </w:tc>
              <w:tc>
                <w:tcPr>
                  <w:tcW w:w="2203" w:type="pct"/>
                  <w:tcBorders>
                    <w:top w:val="outset" w:sz="6" w:space="0" w:color="auto"/>
                    <w:left w:val="outset" w:sz="6" w:space="0" w:color="auto"/>
                    <w:bottom w:val="outset" w:sz="6" w:space="0" w:color="auto"/>
                    <w:right w:val="outset" w:sz="6" w:space="0" w:color="auto"/>
                  </w:tcBorders>
                  <w:hideMark/>
                </w:tcPr>
                <w:p w14:paraId="6DE8F02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0.3m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14:paraId="3F736680" w14:textId="77777777"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14:paraId="3C1F3244" w14:textId="77777777"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Extractive industry</w:t>
                  </w:r>
                </w:p>
                <w:p w14:paraId="13D83EF6" w14:textId="77777777"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14:paraId="69F41830" w14:textId="77777777"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Caboolture West local plan – For all Interim uses</w:t>
                  </w:r>
                </w:p>
              </w:tc>
              <w:tc>
                <w:tcPr>
                  <w:tcW w:w="2203" w:type="pct"/>
                  <w:tcBorders>
                    <w:top w:val="outset" w:sz="6" w:space="0" w:color="auto"/>
                    <w:left w:val="outset" w:sz="6" w:space="0" w:color="auto"/>
                    <w:bottom w:val="outset" w:sz="6" w:space="0" w:color="auto"/>
                    <w:right w:val="outset" w:sz="6" w:space="0" w:color="auto"/>
                  </w:tcBorders>
                  <w:hideMark/>
                </w:tcPr>
                <w:p w14:paraId="5450EBD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5m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14:paraId="291CDDBE" w14:textId="77777777"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14:paraId="49301178" w14:textId="77777777"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residential - if not on a lot identified on Overlay map – Community activities and neighbourhood hubs</w:t>
                  </w:r>
                </w:p>
                <w:p w14:paraId="541B01AF" w14:textId="77777777"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14:paraId="2B1C6F4A" w14:textId="77777777" w:rsidR="00AD3631" w:rsidRPr="00AD3631" w:rsidRDefault="00AD3631" w:rsidP="00AD3631">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tc>
              <w:tc>
                <w:tcPr>
                  <w:tcW w:w="2203" w:type="pct"/>
                  <w:tcBorders>
                    <w:top w:val="outset" w:sz="6" w:space="0" w:color="auto"/>
                    <w:left w:val="outset" w:sz="6" w:space="0" w:color="auto"/>
                    <w:bottom w:val="outset" w:sz="6" w:space="0" w:color="auto"/>
                    <w:right w:val="outset" w:sz="6" w:space="0" w:color="auto"/>
                  </w:tcBorders>
                  <w:hideMark/>
                </w:tcPr>
                <w:p w14:paraId="7CE6461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14:paraId="0A707734" w14:textId="77777777"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14:paraId="53738AC7" w14:textId="77777777"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14:paraId="129FDC72" w14:textId="77777777"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14:paraId="19D8C753" w14:textId="77777777"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14:paraId="2C6380B0" w14:textId="77777777"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tc>
              <w:tc>
                <w:tcPr>
                  <w:tcW w:w="2203" w:type="pct"/>
                  <w:tcBorders>
                    <w:top w:val="outset" w:sz="6" w:space="0" w:color="auto"/>
                    <w:left w:val="outset" w:sz="6" w:space="0" w:color="auto"/>
                    <w:bottom w:val="outset" w:sz="6" w:space="0" w:color="auto"/>
                    <w:right w:val="outset" w:sz="6" w:space="0" w:color="auto"/>
                  </w:tcBorders>
                  <w:hideMark/>
                </w:tcPr>
                <w:p w14:paraId="004CA8F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89"/>
                  </w:tblGrid>
                  <w:tr w:rsidR="00AD3631" w:rsidRPr="00AD3631" w14:paraId="3816AD9D" w14:textId="77777777" w:rsidTr="00AD3631">
                    <w:trPr>
                      <w:tblCellSpacing w:w="15" w:type="dxa"/>
                    </w:trPr>
                    <w:tc>
                      <w:tcPr>
                        <w:tcW w:w="1729" w:type="dxa"/>
                        <w:vAlign w:val="center"/>
                        <w:hideMark/>
                      </w:tcPr>
                      <w:p w14:paraId="17FBF5F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The figures above exclude awning and wall/facade Advertising device types.</w:t>
                        </w:r>
                      </w:p>
                    </w:tc>
                  </w:tr>
                  <w:tr w:rsidR="00AD3631" w:rsidRPr="00AD3631" w14:paraId="75324303" w14:textId="77777777" w:rsidTr="00AD3631">
                    <w:trPr>
                      <w:tblCellSpacing w:w="15" w:type="dxa"/>
                    </w:trPr>
                    <w:tc>
                      <w:tcPr>
                        <w:tcW w:w="1729" w:type="dxa"/>
                        <w:vAlign w:val="center"/>
                        <w:hideMark/>
                      </w:tcPr>
                      <w:p w14:paraId="590F356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Advertising devices that meet the following criteria are also excluded from the maximum signface area above.</w:t>
                        </w:r>
                      </w:p>
                      <w:p w14:paraId="3781C7B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The Advertising device is located internal to the site and does not directly or immediately face towards:</w:t>
                        </w:r>
                      </w:p>
                      <w:p w14:paraId="08D813B3" w14:textId="77777777"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public road;</w:t>
                        </w:r>
                      </w:p>
                      <w:p w14:paraId="6478676F" w14:textId="77777777"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residential property;</w:t>
                        </w:r>
                      </w:p>
                      <w:p w14:paraId="7A24EA02" w14:textId="77777777"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any other public or private place.</w:t>
                        </w:r>
                      </w:p>
                    </w:tc>
                  </w:tr>
                </w:tbl>
                <w:p w14:paraId="2441C6B3"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14:paraId="6E72916B" w14:textId="77777777"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14:paraId="1799C5E2" w14:textId="77777777" w:rsidR="00AD3631" w:rsidRPr="00AD3631" w:rsidRDefault="00AD3631" w:rsidP="00AD363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Township - Centre, Convenience and Industry precincts</w:t>
                  </w:r>
                </w:p>
              </w:tc>
              <w:tc>
                <w:tcPr>
                  <w:tcW w:w="2203" w:type="pct"/>
                  <w:tcBorders>
                    <w:top w:val="outset" w:sz="6" w:space="0" w:color="auto"/>
                    <w:left w:val="outset" w:sz="6" w:space="0" w:color="auto"/>
                    <w:bottom w:val="outset" w:sz="6" w:space="0" w:color="auto"/>
                    <w:right w:val="outset" w:sz="6" w:space="0" w:color="auto"/>
                  </w:tcBorders>
                  <w:hideMark/>
                </w:tcPr>
                <w:p w14:paraId="0149273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10m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c>
            </w:tr>
          </w:tbl>
          <w:p w14:paraId="3C419C4D"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5" w:type="pct"/>
            <w:gridSpan w:val="2"/>
            <w:tcBorders>
              <w:top w:val="outset" w:sz="6" w:space="0" w:color="auto"/>
              <w:left w:val="outset" w:sz="6" w:space="0" w:color="auto"/>
              <w:bottom w:val="outset" w:sz="6" w:space="0" w:color="auto"/>
              <w:right w:val="outset" w:sz="6" w:space="0" w:color="auto"/>
            </w:tcBorders>
          </w:tcPr>
          <w:p w14:paraId="3C1600A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3324CA5C"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4F86D43A" w14:textId="77777777"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D2EC1B4"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Safety of pedestrians, cyclists and motorists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14:paraId="35C9F6F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14:paraId="20148D8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6B5B95F6" w14:textId="77777777" w:rsidTr="00684836">
        <w:trPr>
          <w:trHeight w:val="1995"/>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14:paraId="0288A0E5"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PO2</w:t>
            </w:r>
          </w:p>
          <w:p w14:paraId="4E913347"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siting and design of Advertising devices does not pose a hazard or nuisance for pedestrians, cyclists and motorists by ensuring: </w:t>
            </w:r>
          </w:p>
          <w:p w14:paraId="33690C94" w14:textId="77777777"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site lines are not obstructed;</w:t>
            </w:r>
          </w:p>
          <w:p w14:paraId="601455D1" w14:textId="77777777"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all traffic signs and signals remain visible from all angles;</w:t>
            </w:r>
          </w:p>
          <w:p w14:paraId="072D1AC8" w14:textId="77777777"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passage of pedestrians, cyclists and motorists is not obstructed.</w:t>
            </w:r>
          </w:p>
        </w:tc>
        <w:tc>
          <w:tcPr>
            <w:tcW w:w="1669" w:type="pct"/>
            <w:gridSpan w:val="3"/>
            <w:tcBorders>
              <w:top w:val="outset" w:sz="6" w:space="0" w:color="auto"/>
              <w:left w:val="outset" w:sz="6" w:space="0" w:color="auto"/>
              <w:bottom w:val="outset" w:sz="6" w:space="0" w:color="auto"/>
              <w:right w:val="outset" w:sz="6" w:space="0" w:color="auto"/>
            </w:tcBorders>
            <w:hideMark/>
          </w:tcPr>
          <w:p w14:paraId="686914B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E2</w:t>
            </w:r>
          </w:p>
          <w:p w14:paraId="224BA05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5" w:type="pct"/>
            <w:gridSpan w:val="2"/>
            <w:tcBorders>
              <w:top w:val="outset" w:sz="6" w:space="0" w:color="auto"/>
              <w:left w:val="outset" w:sz="6" w:space="0" w:color="auto"/>
              <w:bottom w:val="outset" w:sz="6" w:space="0" w:color="auto"/>
              <w:right w:val="outset" w:sz="6" w:space="0" w:color="auto"/>
            </w:tcBorders>
          </w:tcPr>
          <w:p w14:paraId="4A52315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4E3BE8B7"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63AC4D6E" w14:textId="77777777"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394E445"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Illumination and movement of Advertising devices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14:paraId="7206061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14:paraId="6C2507E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5F6066B6" w14:textId="77777777" w:rsidTr="00684836">
        <w:trPr>
          <w:trHeight w:val="4065"/>
          <w:tblCellSpacing w:w="15" w:type="dxa"/>
          <w:jc w:val="center"/>
        </w:trPr>
        <w:tc>
          <w:tcPr>
            <w:tcW w:w="1539" w:type="pct"/>
            <w:vMerge w:val="restart"/>
            <w:tcBorders>
              <w:top w:val="outset" w:sz="6" w:space="0" w:color="auto"/>
              <w:left w:val="outset" w:sz="6" w:space="0" w:color="auto"/>
              <w:bottom w:val="outset" w:sz="6" w:space="0" w:color="auto"/>
              <w:right w:val="outset" w:sz="6" w:space="0" w:color="auto"/>
            </w:tcBorders>
            <w:hideMark/>
          </w:tcPr>
          <w:p w14:paraId="6423573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PO3</w:t>
            </w:r>
          </w:p>
          <w:p w14:paraId="3AD4D1A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An Advertising device incorporates illumination only where it is appropriate to its setting and does not detract from the amenity and character of the area in which it is located. Illumination must not create a hazard or nuisance for motorists and surrounding uses. </w:t>
            </w:r>
          </w:p>
        </w:tc>
        <w:tc>
          <w:tcPr>
            <w:tcW w:w="1669" w:type="pct"/>
            <w:gridSpan w:val="3"/>
            <w:tcBorders>
              <w:top w:val="outset" w:sz="6" w:space="0" w:color="auto"/>
              <w:left w:val="outset" w:sz="6" w:space="0" w:color="auto"/>
              <w:bottom w:val="outset" w:sz="6" w:space="0" w:color="auto"/>
              <w:right w:val="outset" w:sz="6" w:space="0" w:color="auto"/>
            </w:tcBorders>
            <w:hideMark/>
          </w:tcPr>
          <w:p w14:paraId="117C1897"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E3.1</w:t>
            </w:r>
          </w:p>
          <w:p w14:paraId="60C8045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illuminated only where located in the following zones:</w:t>
            </w:r>
          </w:p>
          <w:p w14:paraId="745A5863" w14:textId="77777777"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w:t>
            </w:r>
          </w:p>
          <w:p w14:paraId="48FDBA50" w14:textId="77777777"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 zone;</w:t>
            </w:r>
          </w:p>
          <w:p w14:paraId="48E15BB7" w14:textId="77777777"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14:paraId="08884E5B" w14:textId="77777777"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excluding Residential north and Residential south sub-precincts;</w:t>
            </w:r>
          </w:p>
          <w:p w14:paraId="7032A87C" w14:textId="77777777"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 only;</w:t>
            </w:r>
          </w:p>
          <w:p w14:paraId="62769C6C" w14:textId="77777777"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w:t>
            </w:r>
          </w:p>
          <w:p w14:paraId="7B5BD357" w14:textId="77777777"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14:paraId="0CC7B754" w14:textId="77777777"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14:paraId="64D0DBC5" w14:textId="77777777"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14:paraId="3B8BEEA1" w14:textId="77777777"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14:paraId="024E7D12" w14:textId="77777777"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tc>
        <w:tc>
          <w:tcPr>
            <w:tcW w:w="545" w:type="pct"/>
            <w:gridSpan w:val="2"/>
            <w:tcBorders>
              <w:top w:val="outset" w:sz="6" w:space="0" w:color="auto"/>
              <w:left w:val="outset" w:sz="6" w:space="0" w:color="auto"/>
              <w:bottom w:val="outset" w:sz="6" w:space="0" w:color="auto"/>
              <w:right w:val="outset" w:sz="6" w:space="0" w:color="auto"/>
            </w:tcBorders>
          </w:tcPr>
          <w:p w14:paraId="1820C234"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3BC7143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6003EFA0" w14:textId="77777777" w:rsidTr="00684836">
        <w:trPr>
          <w:trHeight w:val="30"/>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14:paraId="10514C4E"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14:paraId="19E90D4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E3.2</w:t>
            </w:r>
          </w:p>
          <w:p w14:paraId="1CB008F5"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an Advertising device is illuminated it meets the following criteria:</w:t>
            </w:r>
          </w:p>
          <w:p w14:paraId="28546B82" w14:textId="77777777"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illumination is by an internal light source or down light if externally lit;</w:t>
            </w:r>
          </w:p>
          <w:p w14:paraId="49AD1F29" w14:textId="77777777"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illumination is in the form of static lighting;</w:t>
            </w:r>
          </w:p>
          <w:p w14:paraId="119145EF" w14:textId="77777777"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lighting is not directed or reflected towards a residential property or public place.</w:t>
            </w:r>
          </w:p>
        </w:tc>
        <w:tc>
          <w:tcPr>
            <w:tcW w:w="545" w:type="pct"/>
            <w:gridSpan w:val="2"/>
            <w:tcBorders>
              <w:top w:val="outset" w:sz="6" w:space="0" w:color="auto"/>
              <w:left w:val="outset" w:sz="6" w:space="0" w:color="auto"/>
              <w:bottom w:val="outset" w:sz="6" w:space="0" w:color="auto"/>
              <w:right w:val="outset" w:sz="6" w:space="0" w:color="auto"/>
            </w:tcBorders>
          </w:tcPr>
          <w:p w14:paraId="0D3493B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35141F5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2A741108" w14:textId="77777777"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14:paraId="120CB9D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PO4</w:t>
            </w:r>
          </w:p>
          <w:p w14:paraId="0D4282D1" w14:textId="77777777" w:rsid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p w14:paraId="4BA13C41" w14:textId="77777777" w:rsidR="00684836" w:rsidRDefault="00684836" w:rsidP="00AD3631">
            <w:pPr>
              <w:spacing w:before="100" w:beforeAutospacing="1" w:after="100" w:afterAutospacing="1" w:line="240" w:lineRule="auto"/>
              <w:ind w:left="150" w:right="150"/>
              <w:rPr>
                <w:rFonts w:ascii="Arial" w:eastAsia="Times New Roman" w:hAnsi="Arial" w:cs="Arial"/>
                <w:sz w:val="20"/>
                <w:szCs w:val="20"/>
                <w:lang w:eastAsia="en-AU"/>
              </w:rPr>
            </w:pPr>
          </w:p>
          <w:p w14:paraId="03916987" w14:textId="77777777" w:rsidR="00684836" w:rsidRPr="00AD3631" w:rsidRDefault="00684836" w:rsidP="00684836">
            <w:pPr>
              <w:spacing w:before="100" w:beforeAutospacing="1" w:after="100" w:afterAutospacing="1" w:line="240" w:lineRule="auto"/>
              <w:ind w:right="150"/>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14:paraId="7C8A0055"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5" w:type="pct"/>
            <w:gridSpan w:val="2"/>
            <w:tcBorders>
              <w:top w:val="outset" w:sz="6" w:space="0" w:color="auto"/>
              <w:left w:val="outset" w:sz="6" w:space="0" w:color="auto"/>
              <w:bottom w:val="outset" w:sz="6" w:space="0" w:color="auto"/>
              <w:right w:val="outset" w:sz="6" w:space="0" w:color="auto"/>
            </w:tcBorders>
          </w:tcPr>
          <w:p w14:paraId="553BC81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71782D7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14:paraId="44820C38" w14:textId="77777777"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1BE36C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Active frontage and casual surveillance</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14:paraId="39472B3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14:paraId="7A525B35"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00AC3C0F" w14:textId="77777777"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14:paraId="4C1BA5D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PO5</w:t>
            </w:r>
          </w:p>
          <w:p w14:paraId="5BB73A9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placement of Advertising devices ensures active frontage and casual surveillance of the street is not adversely affected.</w:t>
            </w:r>
          </w:p>
        </w:tc>
        <w:tc>
          <w:tcPr>
            <w:tcW w:w="1669" w:type="pct"/>
            <w:gridSpan w:val="3"/>
            <w:tcBorders>
              <w:top w:val="outset" w:sz="6" w:space="0" w:color="auto"/>
              <w:left w:val="outset" w:sz="6" w:space="0" w:color="auto"/>
              <w:bottom w:val="outset" w:sz="6" w:space="0" w:color="auto"/>
              <w:right w:val="outset" w:sz="6" w:space="0" w:color="auto"/>
            </w:tcBorders>
            <w:hideMark/>
          </w:tcPr>
          <w:p w14:paraId="1F4ED5B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E5</w:t>
            </w:r>
          </w:p>
          <w:p w14:paraId="2E69D627"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14:paraId="2D4955A2" w14:textId="77777777"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 - excluding Morayfield and Specialised centre precincts;</w:t>
            </w:r>
          </w:p>
          <w:p w14:paraId="7166FBEB" w14:textId="77777777"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14:paraId="16DB5EEF" w14:textId="77777777"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Centre core, Mixed business and Civic sub-precincts only;</w:t>
            </w:r>
          </w:p>
          <w:p w14:paraId="78D5B456" w14:textId="77777777"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14:paraId="39744C51" w14:textId="77777777"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14:paraId="3DA089AE" w14:textId="77777777"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14:paraId="52CEB246" w14:textId="77777777"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14:paraId="5E9A0E01" w14:textId="77777777"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14:paraId="57182FC0" w14:textId="77777777"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14:paraId="55ECCE76" w14:textId="77777777"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zone – Centre precinct.</w:t>
            </w:r>
          </w:p>
        </w:tc>
        <w:tc>
          <w:tcPr>
            <w:tcW w:w="545" w:type="pct"/>
            <w:gridSpan w:val="2"/>
            <w:tcBorders>
              <w:top w:val="outset" w:sz="6" w:space="0" w:color="auto"/>
              <w:left w:val="outset" w:sz="6" w:space="0" w:color="auto"/>
              <w:bottom w:val="outset" w:sz="6" w:space="0" w:color="auto"/>
              <w:right w:val="outset" w:sz="6" w:space="0" w:color="auto"/>
            </w:tcBorders>
          </w:tcPr>
          <w:p w14:paraId="78B96C6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7C811FC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0A63A7FA" w14:textId="77777777"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A88B22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devices visible or adjacent to a State-controlled road</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14:paraId="1928B1C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14:paraId="4938280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195F36F6" w14:textId="77777777" w:rsidTr="00684836">
        <w:trPr>
          <w:trHeight w:val="1326"/>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14:paraId="2C2FCDB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PO6</w:t>
            </w:r>
          </w:p>
          <w:p w14:paraId="40F4435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do not adversely impact on the safety and efficiency of the State-controlled road.</w:t>
            </w:r>
          </w:p>
        </w:tc>
        <w:tc>
          <w:tcPr>
            <w:tcW w:w="1669" w:type="pct"/>
            <w:gridSpan w:val="3"/>
            <w:tcBorders>
              <w:top w:val="outset" w:sz="6" w:space="0" w:color="auto"/>
              <w:left w:val="outset" w:sz="6" w:space="0" w:color="auto"/>
              <w:bottom w:val="outset" w:sz="6" w:space="0" w:color="auto"/>
              <w:right w:val="outset" w:sz="6" w:space="0" w:color="auto"/>
            </w:tcBorders>
            <w:hideMark/>
          </w:tcPr>
          <w:p w14:paraId="75C85A9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E6</w:t>
            </w:r>
          </w:p>
          <w:p w14:paraId="2248219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Advertising devices visible from a State-controlled road complies with Department of Transport and Main Road's Roadside Advertising Guide (RAG). </w:t>
            </w:r>
          </w:p>
        </w:tc>
        <w:tc>
          <w:tcPr>
            <w:tcW w:w="545" w:type="pct"/>
            <w:gridSpan w:val="2"/>
            <w:tcBorders>
              <w:top w:val="outset" w:sz="6" w:space="0" w:color="auto"/>
              <w:left w:val="outset" w:sz="6" w:space="0" w:color="auto"/>
              <w:bottom w:val="outset" w:sz="6" w:space="0" w:color="auto"/>
              <w:right w:val="outset" w:sz="6" w:space="0" w:color="auto"/>
            </w:tcBorders>
          </w:tcPr>
          <w:p w14:paraId="443E0D8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1B9AB6B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60AE6D69" w14:textId="77777777"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4CC379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Township zone specific provisions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14:paraId="597E370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14:paraId="5A1131C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3BC32D35" w14:textId="77777777" w:rsidTr="00684836">
        <w:trPr>
          <w:trHeight w:val="403"/>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14:paraId="1EA84D1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PO7</w:t>
            </w:r>
          </w:p>
          <w:p w14:paraId="39A2D73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located in the Township zone, Advertising devices reinforce the low key, country town character by being:</w:t>
            </w:r>
          </w:p>
          <w:p w14:paraId="3727C4C8" w14:textId="77777777"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simple in shape and graphics;</w:t>
            </w:r>
          </w:p>
          <w:p w14:paraId="0BB4F80A" w14:textId="77777777"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similar in scale to the adjacent approved development;</w:t>
            </w:r>
          </w:p>
          <w:p w14:paraId="389C40C5" w14:textId="77777777"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integrated into the design and elevation of the building;</w:t>
            </w:r>
          </w:p>
          <w:p w14:paraId="5D6D94B0" w14:textId="77777777"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dominating building facades and streetscapes;</w:t>
            </w:r>
          </w:p>
          <w:p w14:paraId="4FEE1CF2" w14:textId="77777777"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traditional rather than modern styling.</w:t>
            </w:r>
          </w:p>
        </w:tc>
        <w:tc>
          <w:tcPr>
            <w:tcW w:w="1669" w:type="pct"/>
            <w:gridSpan w:val="3"/>
            <w:tcBorders>
              <w:top w:val="outset" w:sz="6" w:space="0" w:color="auto"/>
              <w:left w:val="outset" w:sz="6" w:space="0" w:color="auto"/>
              <w:bottom w:val="outset" w:sz="6" w:space="0" w:color="auto"/>
              <w:right w:val="outset" w:sz="6" w:space="0" w:color="auto"/>
            </w:tcBorders>
            <w:hideMark/>
          </w:tcPr>
          <w:p w14:paraId="7CD9572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E7</w:t>
            </w:r>
          </w:p>
          <w:p w14:paraId="38F1CBA3"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provided in accordance with Planning scheme policy – Advertising devices (section 4).</w:t>
            </w:r>
          </w:p>
        </w:tc>
        <w:tc>
          <w:tcPr>
            <w:tcW w:w="545" w:type="pct"/>
            <w:gridSpan w:val="2"/>
            <w:tcBorders>
              <w:top w:val="outset" w:sz="6" w:space="0" w:color="auto"/>
              <w:left w:val="outset" w:sz="6" w:space="0" w:color="auto"/>
              <w:bottom w:val="outset" w:sz="6" w:space="0" w:color="auto"/>
              <w:right w:val="outset" w:sz="6" w:space="0" w:color="auto"/>
            </w:tcBorders>
          </w:tcPr>
          <w:p w14:paraId="2F1DFCE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14:paraId="2C7C688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7ACC95EF" w14:textId="77777777"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14:paraId="49AA1123" w14:textId="77777777"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14:paraId="3361F562" w14:textId="77777777" w:rsidTr="00AD3631">
              <w:trPr>
                <w:tblCellSpacing w:w="15" w:type="dxa"/>
              </w:trPr>
              <w:tc>
                <w:tcPr>
                  <w:tcW w:w="8119" w:type="dxa"/>
                  <w:shd w:val="clear" w:color="auto" w:fill="CCCCCC"/>
                  <w:vAlign w:val="center"/>
                  <w:hideMark/>
                </w:tcPr>
                <w:p w14:paraId="1C603F1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500F6CC5" w14:textId="77777777" w:rsidR="00AD3631" w:rsidRPr="00AD3631" w:rsidRDefault="00AD3631" w:rsidP="00AD363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AD3631" w:rsidRPr="00AD3631" w14:paraId="4D9BF875" w14:textId="77777777"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14:paraId="15A0DFE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14:paraId="35BB7052" w14:textId="77777777" w:rsidTr="00AD3631">
              <w:trPr>
                <w:tblCellSpacing w:w="15" w:type="dxa"/>
              </w:trPr>
              <w:tc>
                <w:tcPr>
                  <w:tcW w:w="8119" w:type="dxa"/>
                  <w:shd w:val="clear" w:color="auto" w:fill="CCCCCC"/>
                  <w:vAlign w:val="center"/>
                  <w:hideMark/>
                </w:tcPr>
                <w:p w14:paraId="57BA279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1B8D85B4"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1F4F068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72D0C17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55279C3E" w14:textId="77777777"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14:paraId="739779B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PO8</w:t>
            </w:r>
          </w:p>
          <w:p w14:paraId="152654A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will:</w:t>
            </w:r>
          </w:p>
          <w:p w14:paraId="7A8B44FD" w14:textId="77777777"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4BE29D70" w14:textId="77777777"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protect the fabric and setting of the heritage site, object or building;</w:t>
            </w:r>
          </w:p>
          <w:p w14:paraId="4FBEB185" w14:textId="77777777"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be consistent with the form, scale and style of the heritage site, object or building;</w:t>
            </w:r>
          </w:p>
          <w:p w14:paraId="61AD215E" w14:textId="77777777"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utilise similar materials to those existing, or where this is not reasonable or practicable, neutral materials and finishes;</w:t>
            </w:r>
          </w:p>
          <w:p w14:paraId="49E5FC1F" w14:textId="77777777"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incorporate complementary elements, detailing and ornamentation to those present on the heritage site, object or building;</w:t>
            </w:r>
          </w:p>
          <w:p w14:paraId="17061D76" w14:textId="77777777"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retain public access where this is currently provided.</w:t>
            </w:r>
          </w:p>
        </w:tc>
        <w:tc>
          <w:tcPr>
            <w:tcW w:w="1652" w:type="pct"/>
            <w:tcBorders>
              <w:top w:val="outset" w:sz="6" w:space="0" w:color="auto"/>
              <w:left w:val="outset" w:sz="6" w:space="0" w:color="auto"/>
              <w:bottom w:val="outset" w:sz="6" w:space="0" w:color="auto"/>
              <w:right w:val="outset" w:sz="6" w:space="0" w:color="auto"/>
            </w:tcBorders>
            <w:hideMark/>
          </w:tcPr>
          <w:p w14:paraId="60A4F66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E8</w:t>
            </w:r>
          </w:p>
          <w:p w14:paraId="338ECD8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4"/>
            </w:tblGrid>
            <w:tr w:rsidR="00AD3631" w:rsidRPr="00AD3631" w14:paraId="12E8F255" w14:textId="77777777" w:rsidTr="00AD3631">
              <w:trPr>
                <w:tblCellSpacing w:w="15" w:type="dxa"/>
              </w:trPr>
              <w:tc>
                <w:tcPr>
                  <w:tcW w:w="4598" w:type="dxa"/>
                  <w:vAlign w:val="center"/>
                  <w:hideMark/>
                </w:tcPr>
                <w:p w14:paraId="086E84CA"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684836">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0DA55C28"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14:paraId="1BCD23A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27DC9AB3"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259A5C86" w14:textId="77777777"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14:paraId="6BA1E0D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PO9</w:t>
            </w:r>
          </w:p>
          <w:p w14:paraId="3C3BB50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Demolition and removal is only considered where:</w:t>
            </w:r>
          </w:p>
          <w:p w14:paraId="599BCEFD" w14:textId="77777777"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4960A1C4" w14:textId="77777777"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1B2ABE96" w14:textId="77777777"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limited demolition is performed in the course of repairs, maintenance or restoration; or</w:t>
            </w:r>
          </w:p>
          <w:p w14:paraId="51DE46ED" w14:textId="77777777"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demolition is performed following a catastrophic event which substantially destroys the building or object.</w:t>
            </w:r>
          </w:p>
        </w:tc>
        <w:tc>
          <w:tcPr>
            <w:tcW w:w="1652" w:type="pct"/>
            <w:tcBorders>
              <w:top w:val="outset" w:sz="6" w:space="0" w:color="auto"/>
              <w:left w:val="outset" w:sz="6" w:space="0" w:color="auto"/>
              <w:bottom w:val="outset" w:sz="6" w:space="0" w:color="auto"/>
              <w:right w:val="outset" w:sz="6" w:space="0" w:color="auto"/>
            </w:tcBorders>
            <w:hideMark/>
          </w:tcPr>
          <w:p w14:paraId="5753C20C"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434818E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3FF142B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14:paraId="2B606400" w14:textId="77777777" w:rsidTr="00684836">
        <w:trPr>
          <w:trHeight w:val="2274"/>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14:paraId="2DDC50E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PO10</w:t>
            </w:r>
          </w:p>
          <w:p w14:paraId="7819828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52" w:type="pct"/>
            <w:tcBorders>
              <w:top w:val="outset" w:sz="6" w:space="0" w:color="auto"/>
              <w:left w:val="outset" w:sz="6" w:space="0" w:color="auto"/>
              <w:bottom w:val="outset" w:sz="6" w:space="0" w:color="auto"/>
              <w:right w:val="outset" w:sz="6" w:space="0" w:color="auto"/>
            </w:tcBorders>
            <w:hideMark/>
          </w:tcPr>
          <w:p w14:paraId="05B1DE4C"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13A9CE5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745CE8E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14:paraId="54D470D9" w14:textId="77777777" w:rsidTr="00684836">
        <w:trPr>
          <w:trHeight w:val="544"/>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14:paraId="2BE92BB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PO11</w:t>
            </w:r>
          </w:p>
          <w:p w14:paraId="2B3FE66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w:t>
            </w:r>
            <w:r w:rsidRPr="00AD3631">
              <w:rPr>
                <w:rFonts w:ascii="Arial" w:eastAsia="Times New Roman" w:hAnsi="Arial" w:cs="Arial"/>
                <w:sz w:val="20"/>
                <w:szCs w:val="20"/>
                <w:lang w:eastAsia="en-AU"/>
              </w:rPr>
              <w:lastRenderedPageBreak/>
              <w:t xml:space="preserve">development sites are adopted to ensure a significant tree's health, wellbeing and vitality. </w:t>
            </w:r>
          </w:p>
          <w:p w14:paraId="4D76B0B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52" w:type="pct"/>
            <w:tcBorders>
              <w:top w:val="outset" w:sz="6" w:space="0" w:color="auto"/>
              <w:left w:val="outset" w:sz="6" w:space="0" w:color="auto"/>
              <w:bottom w:val="outset" w:sz="6" w:space="0" w:color="auto"/>
              <w:right w:val="outset" w:sz="6" w:space="0" w:color="auto"/>
            </w:tcBorders>
            <w:hideMark/>
          </w:tcPr>
          <w:p w14:paraId="5D67531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E11</w:t>
            </w:r>
          </w:p>
          <w:p w14:paraId="5FECADE4"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w:t>
            </w:r>
          </w:p>
          <w:p w14:paraId="15D7F7AC" w14:textId="77777777"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result in the removal of a significant tree;</w:t>
            </w:r>
          </w:p>
          <w:p w14:paraId="19452DEB" w14:textId="77777777"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occur within 20m of a protected tree;</w:t>
            </w:r>
          </w:p>
          <w:p w14:paraId="0DFF5F33" w14:textId="77777777"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involve pruning of a tree in accordance with Australian Standard AS 4373-2007 – Pruning of Amenity Trees.</w:t>
            </w:r>
          </w:p>
        </w:tc>
        <w:tc>
          <w:tcPr>
            <w:tcW w:w="546" w:type="pct"/>
            <w:gridSpan w:val="2"/>
            <w:tcBorders>
              <w:top w:val="outset" w:sz="6" w:space="0" w:color="auto"/>
              <w:left w:val="outset" w:sz="6" w:space="0" w:color="auto"/>
              <w:bottom w:val="outset" w:sz="6" w:space="0" w:color="auto"/>
              <w:right w:val="outset" w:sz="6" w:space="0" w:color="auto"/>
            </w:tcBorders>
          </w:tcPr>
          <w:p w14:paraId="18F3DE4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5EA4015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24FE95FF" w14:textId="77777777"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14:paraId="74FA138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14:paraId="1933F0E4" w14:textId="77777777" w:rsidTr="00AD3631">
              <w:trPr>
                <w:tblCellSpacing w:w="15" w:type="dxa"/>
              </w:trPr>
              <w:tc>
                <w:tcPr>
                  <w:tcW w:w="8119" w:type="dxa"/>
                  <w:shd w:val="clear" w:color="auto" w:fill="CCCCCC"/>
                  <w:vAlign w:val="center"/>
                  <w:hideMark/>
                </w:tcPr>
                <w:p w14:paraId="38CC85C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14:paraId="78AD220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28141A74" w14:textId="77777777"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14:paraId="55CD276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PO12</w:t>
            </w:r>
          </w:p>
          <w:p w14:paraId="3A6EB853"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14:paraId="44A20A50" w14:textId="77777777"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maintains the safety of people and property on a site and neighbouring sites from landslides;</w:t>
            </w:r>
          </w:p>
          <w:p w14:paraId="177287D1" w14:textId="77777777"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the long-term stability of the site considering the full nature and end use of the development;</w:t>
            </w:r>
          </w:p>
          <w:p w14:paraId="1FD10DDB" w14:textId="77777777"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site stability during all phases of construction and development;</w:t>
            </w:r>
          </w:p>
          <w:p w14:paraId="320D557D" w14:textId="77777777"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14:paraId="44956876" w14:textId="77777777"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52" w:type="pct"/>
            <w:tcBorders>
              <w:top w:val="outset" w:sz="6" w:space="0" w:color="auto"/>
              <w:left w:val="outset" w:sz="6" w:space="0" w:color="auto"/>
              <w:bottom w:val="outset" w:sz="6" w:space="0" w:color="auto"/>
              <w:right w:val="outset" w:sz="6" w:space="0" w:color="auto"/>
            </w:tcBorders>
            <w:hideMark/>
          </w:tcPr>
          <w:p w14:paraId="32D55EB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E12</w:t>
            </w:r>
          </w:p>
          <w:p w14:paraId="3E9F893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14:paraId="0960E58B" w14:textId="77777777"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earthworks exceeding 50m</w:t>
            </w:r>
            <w:r w:rsidRPr="00AD3631">
              <w:rPr>
                <w:rFonts w:ascii="Arial" w:eastAsia="Times New Roman" w:hAnsi="Arial" w:cs="Arial"/>
                <w:sz w:val="20"/>
                <w:szCs w:val="20"/>
                <w:vertAlign w:val="superscript"/>
                <w:lang w:eastAsia="en-AU"/>
              </w:rPr>
              <w:t>3</w:t>
            </w:r>
            <w:r w:rsidRPr="00AD3631">
              <w:rPr>
                <w:rFonts w:ascii="Arial" w:eastAsia="Times New Roman" w:hAnsi="Arial" w:cs="Arial"/>
                <w:sz w:val="20"/>
                <w:szCs w:val="20"/>
                <w:lang w:eastAsia="en-AU"/>
              </w:rPr>
              <w:t xml:space="preserve">; </w:t>
            </w:r>
          </w:p>
          <w:p w14:paraId="6552CD0D" w14:textId="77777777"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cut and fill having a height greater than 600mm;</w:t>
            </w:r>
          </w:p>
          <w:p w14:paraId="34915778" w14:textId="77777777"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any retaining wall having a height greater than 600mm;</w:t>
            </w:r>
          </w:p>
          <w:p w14:paraId="46D57813" w14:textId="77777777"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redirect or alter the existing flow of surface or groundwater.</w:t>
            </w:r>
          </w:p>
        </w:tc>
        <w:tc>
          <w:tcPr>
            <w:tcW w:w="546" w:type="pct"/>
            <w:gridSpan w:val="2"/>
            <w:tcBorders>
              <w:top w:val="outset" w:sz="6" w:space="0" w:color="auto"/>
              <w:left w:val="outset" w:sz="6" w:space="0" w:color="auto"/>
              <w:bottom w:val="outset" w:sz="6" w:space="0" w:color="auto"/>
              <w:right w:val="outset" w:sz="6" w:space="0" w:color="auto"/>
            </w:tcBorders>
          </w:tcPr>
          <w:p w14:paraId="066C56C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054AF7E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4DBEB19C" w14:textId="77777777"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14:paraId="264791F5"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14:paraId="69F4C2D6" w14:textId="77777777" w:rsidTr="00AD3631">
              <w:trPr>
                <w:tblCellSpacing w:w="15" w:type="dxa"/>
              </w:trPr>
              <w:tc>
                <w:tcPr>
                  <w:tcW w:w="8119" w:type="dxa"/>
                  <w:vAlign w:val="center"/>
                  <w:hideMark/>
                </w:tcPr>
                <w:p w14:paraId="22B7383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6DE38DA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20784C09" w14:textId="77777777"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14:paraId="27B09B7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PO13</w:t>
            </w:r>
          </w:p>
          <w:p w14:paraId="3D481BD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Development:</w:t>
            </w:r>
          </w:p>
          <w:p w14:paraId="1261B0A6" w14:textId="77777777"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minimises the risk to persons from overland flow;</w:t>
            </w:r>
          </w:p>
          <w:p w14:paraId="48C28F18" w14:textId="77777777"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652" w:type="pct"/>
            <w:tcBorders>
              <w:top w:val="outset" w:sz="6" w:space="0" w:color="auto"/>
              <w:left w:val="outset" w:sz="6" w:space="0" w:color="auto"/>
              <w:bottom w:val="outset" w:sz="6" w:space="0" w:color="auto"/>
              <w:right w:val="outset" w:sz="6" w:space="0" w:color="auto"/>
            </w:tcBorders>
            <w:hideMark/>
          </w:tcPr>
          <w:p w14:paraId="6AF86DCC"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p w14:paraId="57992265"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14:paraId="28C95D2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500665B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14:paraId="194CC444" w14:textId="77777777"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14:paraId="4209BE1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PO14</w:t>
            </w:r>
          </w:p>
          <w:p w14:paraId="0ACEB434"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14:paraId="36E3F0AE" w14:textId="77777777"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6195091E" w14:textId="77777777"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14:paraId="62E3EE2A" w14:textId="77777777" w:rsidTr="00AD3631">
              <w:trPr>
                <w:tblCellSpacing w:w="15" w:type="dxa"/>
              </w:trPr>
              <w:tc>
                <w:tcPr>
                  <w:tcW w:w="3401" w:type="dxa"/>
                  <w:vAlign w:val="center"/>
                  <w:hideMark/>
                </w:tcPr>
                <w:p w14:paraId="2D8BAFCC" w14:textId="77777777"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D3631" w:rsidRPr="00AD3631" w14:paraId="46C17928" w14:textId="77777777" w:rsidTr="00AD3631">
              <w:trPr>
                <w:tblCellSpacing w:w="15" w:type="dxa"/>
              </w:trPr>
              <w:tc>
                <w:tcPr>
                  <w:tcW w:w="3401" w:type="dxa"/>
                  <w:vAlign w:val="center"/>
                  <w:hideMark/>
                </w:tcPr>
                <w:p w14:paraId="5D349EEB" w14:textId="77777777"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Note - Reporting to be prepared in accordance with Planning scheme policy – Flood hazard, Coastal hazard and Overland flow.</w:t>
                  </w:r>
                </w:p>
              </w:tc>
            </w:tr>
          </w:tbl>
          <w:p w14:paraId="0751E0EE"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14:paraId="6B2EC56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E14</w:t>
            </w:r>
          </w:p>
          <w:p w14:paraId="7C58E4EC"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79533B8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091F856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1687B2C6" w14:textId="77777777"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14:paraId="3112190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PO15</w:t>
            </w:r>
          </w:p>
          <w:p w14:paraId="1E560CF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14:paraId="663C0BC9" w14:textId="77777777"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directly, indirectly or cumulatively cause any increase in overland flow velocity or level;</w:t>
            </w:r>
          </w:p>
          <w:p w14:paraId="289D16BB" w14:textId="77777777"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14:paraId="4E86FF90" w14:textId="77777777" w:rsidTr="00AD3631">
              <w:trPr>
                <w:tblCellSpacing w:w="15" w:type="dxa"/>
              </w:trPr>
              <w:tc>
                <w:tcPr>
                  <w:tcW w:w="3401" w:type="dxa"/>
                  <w:vAlign w:val="center"/>
                  <w:hideMark/>
                </w:tcPr>
                <w:p w14:paraId="2D7DCF50"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684836">
                    <w:rPr>
                      <w:rFonts w:ascii="Arial" w:eastAsia="Times New Roman" w:hAnsi="Arial" w:cs="Arial"/>
                      <w:sz w:val="18"/>
                      <w:szCs w:val="20"/>
                      <w:lang w:eastAsia="en-AU"/>
                    </w:rPr>
                    <w:lastRenderedPageBreak/>
                    <w:t xml:space="preserve">Note - Open concrete drains greater than 1m in width are not an acceptable outcome, nor are any other design options that may increase scouring. </w:t>
                  </w:r>
                </w:p>
              </w:tc>
            </w:tr>
          </w:tbl>
          <w:p w14:paraId="2C070670"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14:paraId="248EC95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14CEA92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573B3C5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14:paraId="199B95A3" w14:textId="77777777"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14:paraId="6EE21A7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PO16</w:t>
            </w:r>
          </w:p>
          <w:p w14:paraId="731F0EF7"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52" w:type="pct"/>
            <w:tcBorders>
              <w:top w:val="outset" w:sz="6" w:space="0" w:color="auto"/>
              <w:left w:val="outset" w:sz="6" w:space="0" w:color="auto"/>
              <w:bottom w:val="outset" w:sz="6" w:space="0" w:color="auto"/>
              <w:right w:val="outset" w:sz="6" w:space="0" w:color="auto"/>
            </w:tcBorders>
            <w:hideMark/>
          </w:tcPr>
          <w:p w14:paraId="098E06C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E16</w:t>
            </w:r>
          </w:p>
          <w:p w14:paraId="28A5D8A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46" w:type="pct"/>
            <w:gridSpan w:val="2"/>
            <w:tcBorders>
              <w:top w:val="outset" w:sz="6" w:space="0" w:color="auto"/>
              <w:left w:val="outset" w:sz="6" w:space="0" w:color="auto"/>
              <w:bottom w:val="outset" w:sz="6" w:space="0" w:color="auto"/>
              <w:right w:val="outset" w:sz="6" w:space="0" w:color="auto"/>
            </w:tcBorders>
          </w:tcPr>
          <w:p w14:paraId="7D765862"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4029AB40"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14:paraId="28A0EC2E" w14:textId="77777777"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14:paraId="00C84A7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PO17</w:t>
            </w:r>
          </w:p>
          <w:p w14:paraId="1EDD45D8"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protects the conveyance of overland flow such that an easement for drainage purposes is provided over:</w:t>
            </w:r>
          </w:p>
          <w:p w14:paraId="29CD330F" w14:textId="77777777"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stormwater pipe if the nominal pipe diameter exceeds 300mm;</w:t>
            </w:r>
          </w:p>
          <w:p w14:paraId="402C7F48" w14:textId="77777777"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overland flow path where it crosses more than one premises;</w:t>
            </w:r>
          </w:p>
          <w:p w14:paraId="061BD187" w14:textId="77777777"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14:paraId="1C72BBCB" w14:textId="77777777" w:rsidTr="00AD3631">
              <w:trPr>
                <w:tblCellSpacing w:w="15" w:type="dxa"/>
              </w:trPr>
              <w:tc>
                <w:tcPr>
                  <w:tcW w:w="3401" w:type="dxa"/>
                  <w:vAlign w:val="center"/>
                  <w:hideMark/>
                </w:tcPr>
                <w:p w14:paraId="7441D419" w14:textId="77777777"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Note - Refer to Planning scheme policy - Integrated design for details and examples.</w:t>
                  </w:r>
                </w:p>
              </w:tc>
            </w:tr>
            <w:tr w:rsidR="00AD3631" w:rsidRPr="00AD3631" w14:paraId="731548FE" w14:textId="77777777" w:rsidTr="00AD3631">
              <w:trPr>
                <w:tblCellSpacing w:w="15" w:type="dxa"/>
              </w:trPr>
              <w:tc>
                <w:tcPr>
                  <w:tcW w:w="3401" w:type="dxa"/>
                  <w:vAlign w:val="center"/>
                  <w:hideMark/>
                </w:tcPr>
                <w:p w14:paraId="789B2632" w14:textId="77777777"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Note - Stormwater Drainage easement dimensions are provided in accordance with Section 3.8.5 of QUDM.</w:t>
                  </w:r>
                </w:p>
              </w:tc>
            </w:tr>
          </w:tbl>
          <w:p w14:paraId="129E29CB"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14:paraId="58B60B6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14:paraId="5AE0C3F6"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14:paraId="7BCAA82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bl>
    <w:p w14:paraId="409173A8" w14:textId="77777777" w:rsidR="00AD3631" w:rsidRPr="00AD3631" w:rsidRDefault="00AD3631" w:rsidP="00AD3631">
      <w:pPr>
        <w:shd w:val="clear" w:color="auto" w:fill="FFFFFF"/>
        <w:spacing w:before="100" w:beforeAutospacing="1" w:after="100" w:afterAutospacing="1" w:line="240" w:lineRule="auto"/>
        <w:jc w:val="center"/>
        <w:rPr>
          <w:rFonts w:ascii="Arial" w:eastAsia="Times New Roman" w:hAnsi="Arial" w:cs="Arial"/>
          <w:sz w:val="20"/>
          <w:szCs w:val="20"/>
          <w:lang w:eastAsia="en-AU"/>
        </w:rPr>
      </w:pPr>
    </w:p>
    <w:tbl>
      <w:tblPr>
        <w:tblW w:w="4985"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827"/>
        <w:gridCol w:w="12525"/>
      </w:tblGrid>
      <w:tr w:rsidR="00AD3631" w:rsidRPr="00AD3631" w14:paraId="7E6CD0A3" w14:textId="77777777" w:rsidTr="00AD3631">
        <w:trPr>
          <w:tblCellSpacing w:w="15" w:type="dxa"/>
          <w:jc w:val="center"/>
        </w:trPr>
        <w:tc>
          <w:tcPr>
            <w:tcW w:w="15291" w:type="dxa"/>
            <w:gridSpan w:val="2"/>
            <w:tcBorders>
              <w:top w:val="nil"/>
              <w:left w:val="nil"/>
              <w:bottom w:val="nil"/>
              <w:right w:val="nil"/>
            </w:tcBorders>
            <w:shd w:val="clear" w:color="auto" w:fill="CCCCCC"/>
            <w:tcMar>
              <w:top w:w="30" w:type="dxa"/>
              <w:left w:w="30" w:type="dxa"/>
              <w:bottom w:w="30" w:type="dxa"/>
              <w:right w:w="30" w:type="dxa"/>
            </w:tcMar>
            <w:vAlign w:val="center"/>
            <w:hideMark/>
          </w:tcPr>
          <w:p w14:paraId="270ED0CB" w14:textId="77777777"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 xml:space="preserve">Table 9.4.4.4 </w:t>
            </w:r>
          </w:p>
        </w:tc>
      </w:tr>
      <w:tr w:rsidR="00AD3631" w:rsidRPr="00AD3631" w14:paraId="6C8E990B" w14:textId="77777777"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F8CF5B3"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1</w:t>
            </w:r>
          </w:p>
          <w:p w14:paraId="4DBAB0D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type</w:t>
            </w:r>
          </w:p>
        </w:tc>
        <w:tc>
          <w:tcPr>
            <w:tcW w:w="12479"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E1FEA27"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2</w:t>
            </w:r>
          </w:p>
          <w:p w14:paraId="796681C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requirements</w:t>
            </w:r>
          </w:p>
        </w:tc>
      </w:tr>
      <w:tr w:rsidR="00AD3631" w:rsidRPr="00AD3631" w14:paraId="1E0F3C4B" w14:textId="77777777"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59239B3"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Awning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5BC67DC"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awning Advertising device:</w:t>
            </w:r>
          </w:p>
          <w:p w14:paraId="67E948F9" w14:textId="77777777"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not located above the awning;</w:t>
            </w:r>
          </w:p>
          <w:p w14:paraId="7BA1616E" w14:textId="77777777"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under awning sign per tenancy;</w:t>
            </w:r>
          </w:p>
          <w:p w14:paraId="7923A527" w14:textId="77777777"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has a minimum clearance of 2.4m between the lowest point of the advertising device and the footpath/ground level (Refer to Figure – Awning advertising device (a)); </w:t>
            </w:r>
          </w:p>
          <w:p w14:paraId="6783D475" w14:textId="77777777"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attached to the awning fascia, has a maximum thickness of 100mm;</w:t>
            </w:r>
          </w:p>
          <w:p w14:paraId="477A801E" w14:textId="77777777"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does not extend beyond the awning edges shown on Figure - Awning advertising device (a) and Figure – Awning advertising device (b). </w:t>
            </w:r>
          </w:p>
          <w:p w14:paraId="4191E327"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Awning advertising device (a)</w:t>
            </w:r>
            <w:r w:rsidRPr="00AD3631">
              <w:rPr>
                <w:rFonts w:ascii="Arial" w:eastAsia="Times New Roman" w:hAnsi="Arial" w:cs="Arial"/>
                <w:sz w:val="20"/>
                <w:szCs w:val="20"/>
                <w:lang w:eastAsia="en-AU"/>
              </w:rPr>
              <w:t xml:space="preserve"> </w:t>
            </w:r>
            <w:hyperlink r:id="rId7" w:tgtFrame="_blank" w:tooltip="Link to larger image (popup)" w:history="1">
              <w:r w:rsidRPr="00AD3631">
                <w:rPr>
                  <w:rFonts w:ascii="Arial" w:eastAsia="Times New Roman" w:hAnsi="Arial" w:cs="Arial"/>
                  <w:color w:val="0000FF"/>
                  <w:sz w:val="20"/>
                  <w:szCs w:val="20"/>
                  <w:lang w:eastAsia="en-AU"/>
                </w:rPr>
                <w:t> </w:t>
              </w:r>
            </w:hyperlink>
          </w:p>
          <w:p w14:paraId="14C42A5C"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4F373C51" wp14:editId="1511BD47">
                  <wp:extent cx="2723398" cy="2343150"/>
                  <wp:effectExtent l="0" t="0" r="1270" b="0"/>
                  <wp:docPr id="8" name="Picture 8" descr="Awn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advertising device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142" cy="2345510"/>
                          </a:xfrm>
                          <a:prstGeom prst="rect">
                            <a:avLst/>
                          </a:prstGeom>
                          <a:noFill/>
                          <a:ln>
                            <a:noFill/>
                          </a:ln>
                        </pic:spPr>
                      </pic:pic>
                    </a:graphicData>
                  </a:graphic>
                </wp:inline>
              </w:drawing>
            </w:r>
          </w:p>
          <w:p w14:paraId="4499C112"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Awning advertising device (b)</w:t>
            </w:r>
            <w:r w:rsidRPr="00AD3631">
              <w:rPr>
                <w:rFonts w:ascii="Arial" w:eastAsia="Times New Roman" w:hAnsi="Arial" w:cs="Arial"/>
                <w:sz w:val="20"/>
                <w:szCs w:val="20"/>
                <w:lang w:eastAsia="en-AU"/>
              </w:rPr>
              <w:t xml:space="preserve"> </w:t>
            </w:r>
            <w:hyperlink r:id="rId9" w:tgtFrame="_blank" w:tooltip="Link to larger image (popup)" w:history="1">
              <w:r w:rsidRPr="00AD3631">
                <w:rPr>
                  <w:rFonts w:ascii="Arial" w:eastAsia="Times New Roman" w:hAnsi="Arial" w:cs="Arial"/>
                  <w:color w:val="0000FF"/>
                  <w:sz w:val="20"/>
                  <w:szCs w:val="20"/>
                  <w:lang w:eastAsia="en-AU"/>
                </w:rPr>
                <w:t> </w:t>
              </w:r>
            </w:hyperlink>
          </w:p>
          <w:p w14:paraId="5990AB7A"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64971C11" wp14:editId="141C98C3">
                  <wp:extent cx="2743614" cy="2143125"/>
                  <wp:effectExtent l="0" t="0" r="0" b="0"/>
                  <wp:docPr id="7" name="Picture 7" descr="Awn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advertising device (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6959" cy="2145738"/>
                          </a:xfrm>
                          <a:prstGeom prst="rect">
                            <a:avLst/>
                          </a:prstGeom>
                          <a:noFill/>
                          <a:ln>
                            <a:noFill/>
                          </a:ln>
                        </pic:spPr>
                      </pic:pic>
                    </a:graphicData>
                  </a:graphic>
                </wp:inline>
              </w:drawing>
            </w:r>
          </w:p>
        </w:tc>
      </w:tr>
      <w:tr w:rsidR="00AD3631" w:rsidRPr="00AD3631" w14:paraId="2347FE5A" w14:textId="77777777"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988BBF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Fence</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DA0182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fence Advertising device:</w:t>
            </w:r>
          </w:p>
          <w:p w14:paraId="21CC2C39" w14:textId="77777777" w:rsidR="00AD3631" w:rsidRP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has a maximum thickness of 100mm;</w:t>
            </w:r>
          </w:p>
          <w:p w14:paraId="30C95130" w14:textId="77777777" w:rsid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any edge of the fence to which it is attached (Refer to Figure – Fence advertising device).</w:t>
            </w:r>
          </w:p>
          <w:p w14:paraId="363C670B" w14:textId="77777777" w:rsidR="00684836" w:rsidRPr="00AD3631" w:rsidRDefault="00684836" w:rsidP="00684836">
            <w:pPr>
              <w:spacing w:before="100" w:beforeAutospacing="1" w:after="100" w:afterAutospacing="1" w:line="240" w:lineRule="auto"/>
              <w:ind w:right="150"/>
              <w:rPr>
                <w:rFonts w:ascii="Arial" w:eastAsia="Times New Roman" w:hAnsi="Arial" w:cs="Arial"/>
                <w:sz w:val="20"/>
                <w:szCs w:val="20"/>
                <w:lang w:eastAsia="en-AU"/>
              </w:rPr>
            </w:pPr>
          </w:p>
          <w:p w14:paraId="4649EB36"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Fence advertising device</w:t>
            </w:r>
            <w:r w:rsidRPr="00AD3631">
              <w:rPr>
                <w:rFonts w:ascii="Arial" w:eastAsia="Times New Roman" w:hAnsi="Arial" w:cs="Arial"/>
                <w:sz w:val="20"/>
                <w:szCs w:val="20"/>
                <w:lang w:eastAsia="en-AU"/>
              </w:rPr>
              <w:t xml:space="preserve"> </w:t>
            </w:r>
            <w:hyperlink r:id="rId11" w:tgtFrame="_blank" w:tooltip="Link to larger image (popup)" w:history="1">
              <w:r w:rsidRPr="00AD3631">
                <w:rPr>
                  <w:rFonts w:ascii="Arial" w:eastAsia="Times New Roman" w:hAnsi="Arial" w:cs="Arial"/>
                  <w:color w:val="0000FF"/>
                  <w:sz w:val="20"/>
                  <w:szCs w:val="20"/>
                  <w:lang w:eastAsia="en-AU"/>
                </w:rPr>
                <w:t> </w:t>
              </w:r>
            </w:hyperlink>
          </w:p>
          <w:p w14:paraId="1CD144C5"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281D297D" wp14:editId="01CD602E">
                  <wp:extent cx="2524125" cy="1962150"/>
                  <wp:effectExtent l="0" t="0" r="9525" b="0"/>
                  <wp:docPr id="6" name="Picture 6" descr="Fenc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nce advertising de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14:paraId="7FB6D766" w14:textId="77777777" w:rsidTr="00AD3631">
        <w:trPr>
          <w:trHeight w:val="12330"/>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BF592CC"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Freestanding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70D564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freestanding Advertising device:</w:t>
            </w:r>
          </w:p>
          <w:p w14:paraId="15B2D3A8" w14:textId="77777777"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 entrance, with a maximum of 2 per frontage;</w:t>
            </w:r>
          </w:p>
          <w:p w14:paraId="086E97EC" w14:textId="77777777"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setback a minimum 1m from the front boundary and 3m from the side and rear boundaries of the site;</w:t>
            </w:r>
          </w:p>
          <w:p w14:paraId="15C6DB94" w14:textId="77777777"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exceed the maximum height for the zone in which it is located as specified below:</w:t>
            </w:r>
          </w:p>
          <w:tbl>
            <w:tblPr>
              <w:tblW w:w="12268"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8157"/>
              <w:gridCol w:w="4111"/>
            </w:tblGrid>
            <w:tr w:rsidR="00AD3631" w:rsidRPr="00AD3631" w14:paraId="07EE7BA5" w14:textId="77777777" w:rsidTr="00AD3631">
              <w:trPr>
                <w:tblCellSpacing w:w="15" w:type="dxa"/>
              </w:trPr>
              <w:tc>
                <w:tcPr>
                  <w:tcW w:w="811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08E28201"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4066"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74A20D8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Height in metres (m)</w:t>
                  </w:r>
                </w:p>
              </w:tc>
            </w:tr>
            <w:tr w:rsidR="00AD3631" w:rsidRPr="00AD3631" w14:paraId="5644AAB3" w14:textId="77777777" w:rsidTr="00AD3631">
              <w:trPr>
                <w:tblCellSpacing w:w="15" w:type="dxa"/>
              </w:trPr>
              <w:tc>
                <w:tcPr>
                  <w:tcW w:w="81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30A1D04"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14:paraId="16080583"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14:paraId="4CC82B03"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Emerging community, General residential - if on a lot identified on Overlay map – Community activities and neighbourhood hubs</w:t>
                  </w:r>
                </w:p>
                <w:p w14:paraId="3626E350"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Extractive industry</w:t>
                  </w:r>
                </w:p>
                <w:p w14:paraId="0CEB4A02"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14:paraId="3982EF51"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14:paraId="6F23BFEE"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14:paraId="4986EE91"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residential – if on a lot identifies for Community activities and Neighbourhood hubs</w:t>
                  </w:r>
                </w:p>
                <w:p w14:paraId="587B1A19"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 – For all Interim uses</w:t>
                  </w:r>
                </w:p>
                <w:p w14:paraId="05A520BB"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14:paraId="2AE54BC6"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14:paraId="3998BA5B"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14:paraId="3331FD37"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w:t>
                  </w:r>
                </w:p>
                <w:p w14:paraId="1FCBFDC0"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14:paraId="6FD26F43"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14:paraId="7703463D"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14:paraId="53AA7763"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14:paraId="4DB2FA17"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14:paraId="66311820"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14:paraId="04776051"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14:paraId="72B6AAFC"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14:paraId="64CA8227"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on a lot identified for Community activities and Neighbourhood hubs</w:t>
                  </w:r>
                </w:p>
                <w:p w14:paraId="47EFEEB4"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14:paraId="5AA555BE" w14:textId="77777777"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p w14:paraId="13D73883" w14:textId="77777777"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Woodfordia local plan</w:t>
                  </w:r>
                </w:p>
              </w:tc>
              <w:tc>
                <w:tcPr>
                  <w:tcW w:w="406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9FAEF0"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br/>
                  </w:r>
                </w:p>
                <w:p w14:paraId="0307139E"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6m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76"/>
                  </w:tblGrid>
                  <w:tr w:rsidR="00AD3631" w:rsidRPr="00AD3631" w14:paraId="25F7BA01" w14:textId="77777777" w:rsidTr="00AD3631">
                    <w:trPr>
                      <w:tblCellSpacing w:w="15" w:type="dxa"/>
                    </w:trPr>
                    <w:tc>
                      <w:tcPr>
                        <w:tcW w:w="3864" w:type="dxa"/>
                        <w:hideMark/>
                      </w:tcPr>
                      <w:p w14:paraId="4188537D"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Height is to be measured from ground level.</w:t>
                        </w:r>
                      </w:p>
                    </w:tc>
                  </w:tr>
                </w:tbl>
                <w:p w14:paraId="2BA78FCE"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14:paraId="4F978ED7" w14:textId="77777777" w:rsidTr="00AD3631">
              <w:trPr>
                <w:tblCellSpacing w:w="15" w:type="dxa"/>
              </w:trPr>
              <w:tc>
                <w:tcPr>
                  <w:tcW w:w="8112" w:type="dxa"/>
                  <w:tcBorders>
                    <w:top w:val="outset" w:sz="6" w:space="0" w:color="auto"/>
                    <w:left w:val="outset" w:sz="6" w:space="0" w:color="auto"/>
                    <w:bottom w:val="outset" w:sz="6" w:space="0" w:color="auto"/>
                    <w:right w:val="outset" w:sz="6" w:space="0" w:color="auto"/>
                  </w:tcBorders>
                  <w:hideMark/>
                </w:tcPr>
                <w:p w14:paraId="23557F34" w14:textId="77777777"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Emerging community, General residential - if not on a lot identified on Overlay map – Community activities and neighbourhood hubs </w:t>
                  </w:r>
                </w:p>
                <w:p w14:paraId="21FDB021" w14:textId="77777777"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14:paraId="1C5AAB58" w14:textId="77777777"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residential – if not on a lot identified for Community activities and Neighbourhood hubs</w:t>
                  </w:r>
                </w:p>
                <w:p w14:paraId="5D6C2223" w14:textId="77777777"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w:t>
                  </w:r>
                </w:p>
                <w:p w14:paraId="18668A62" w14:textId="77777777"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14:paraId="30D79A22" w14:textId="77777777"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14:paraId="5A40DD98" w14:textId="77777777"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p w14:paraId="058208DB" w14:textId="77777777"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14:paraId="689A7DF7" w14:textId="77777777"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14:paraId="09DF66B8" w14:textId="77777777"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not on a lot identified for Community activities and Neighbourhood hubs</w:t>
                  </w:r>
                </w:p>
              </w:tc>
              <w:tc>
                <w:tcPr>
                  <w:tcW w:w="4066" w:type="dxa"/>
                  <w:tcBorders>
                    <w:top w:val="outset" w:sz="6" w:space="0" w:color="auto"/>
                    <w:left w:val="outset" w:sz="6" w:space="0" w:color="auto"/>
                    <w:bottom w:val="outset" w:sz="6" w:space="0" w:color="auto"/>
                    <w:right w:val="outset" w:sz="6" w:space="0" w:color="auto"/>
                  </w:tcBorders>
                  <w:hideMark/>
                </w:tcPr>
                <w:p w14:paraId="5A74493B"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br/>
                  </w:r>
                </w:p>
                <w:p w14:paraId="3A2A329A"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6"/>
                  </w:tblGrid>
                  <w:tr w:rsidR="00AD3631" w:rsidRPr="00AD3631" w14:paraId="6BCA9331" w14:textId="77777777" w:rsidTr="00AD3631">
                    <w:trPr>
                      <w:tblCellSpacing w:w="15" w:type="dxa"/>
                    </w:trPr>
                    <w:tc>
                      <w:tcPr>
                        <w:tcW w:w="3924" w:type="dxa"/>
                        <w:hideMark/>
                      </w:tcPr>
                      <w:p w14:paraId="7FE4136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684836">
                          <w:rPr>
                            <w:rFonts w:ascii="Arial" w:eastAsia="Times New Roman" w:hAnsi="Arial" w:cs="Arial"/>
                            <w:sz w:val="18"/>
                            <w:szCs w:val="20"/>
                            <w:lang w:eastAsia="en-AU"/>
                          </w:rPr>
                          <w:t>Note - Height is to be measured from ground level.</w:t>
                        </w:r>
                      </w:p>
                    </w:tc>
                  </w:tr>
                </w:tbl>
                <w:p w14:paraId="557DA108"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bl>
          <w:p w14:paraId="044FAD45" w14:textId="77777777"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14:paraId="39321A96" w14:textId="77777777"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14:paraId="2472721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Projecting</w:t>
            </w:r>
          </w:p>
        </w:tc>
        <w:tc>
          <w:tcPr>
            <w:tcW w:w="12479" w:type="dxa"/>
            <w:tcBorders>
              <w:top w:val="outset" w:sz="6" w:space="0" w:color="auto"/>
              <w:left w:val="outset" w:sz="6" w:space="0" w:color="auto"/>
              <w:bottom w:val="outset" w:sz="6" w:space="0" w:color="auto"/>
              <w:right w:val="outset" w:sz="6" w:space="0" w:color="auto"/>
            </w:tcBorders>
            <w:hideMark/>
          </w:tcPr>
          <w:p w14:paraId="5590D1B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projecting Advertising device:</w:t>
            </w:r>
          </w:p>
          <w:p w14:paraId="2FCA8478" w14:textId="77777777"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under 2.4m high clearance to any footpath, has a maximum projection of 300mm (Refer to Figure – Projecting advertising device (a)); </w:t>
            </w:r>
          </w:p>
          <w:p w14:paraId="0748B668" w14:textId="77777777"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2.4m or greater high clearance to any footpath, has a maximum projection setback a minimum of 1.5m from the kerb line (Refer to Figure – Projecting advertising device), except where located in the Township zone – Centre precinct, the maximum projection setback is a minimum 600mm from the kerb line (Refer to Figure – Township zone projecting advertising device). </w:t>
            </w:r>
          </w:p>
          <w:p w14:paraId="0B8A59D9"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(a)</w:t>
            </w:r>
            <w:r w:rsidRPr="00AD3631">
              <w:rPr>
                <w:rFonts w:ascii="Arial" w:eastAsia="Times New Roman" w:hAnsi="Arial" w:cs="Arial"/>
                <w:sz w:val="20"/>
                <w:szCs w:val="20"/>
                <w:lang w:eastAsia="en-AU"/>
              </w:rPr>
              <w:t xml:space="preserve"> </w:t>
            </w:r>
            <w:hyperlink r:id="rId13" w:tgtFrame="_blank" w:tooltip="Link to larger image (popup)" w:history="1">
              <w:r w:rsidRPr="00AD3631">
                <w:rPr>
                  <w:rFonts w:ascii="Arial" w:eastAsia="Times New Roman" w:hAnsi="Arial" w:cs="Arial"/>
                  <w:color w:val="0000FF"/>
                  <w:sz w:val="20"/>
                  <w:szCs w:val="20"/>
                  <w:lang w:eastAsia="en-AU"/>
                </w:rPr>
                <w:t> </w:t>
              </w:r>
            </w:hyperlink>
          </w:p>
          <w:p w14:paraId="55A597CC"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3EEF67ED" wp14:editId="0172D72E">
                  <wp:extent cx="2524125" cy="1971675"/>
                  <wp:effectExtent l="0" t="0" r="9525" b="9525"/>
                  <wp:docPr id="5" name="Picture 5" descr="Project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ing advertising device (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971675"/>
                          </a:xfrm>
                          <a:prstGeom prst="rect">
                            <a:avLst/>
                          </a:prstGeom>
                          <a:noFill/>
                          <a:ln>
                            <a:noFill/>
                          </a:ln>
                        </pic:spPr>
                      </pic:pic>
                    </a:graphicData>
                  </a:graphic>
                </wp:inline>
              </w:drawing>
            </w:r>
          </w:p>
          <w:p w14:paraId="4CBD4F44"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Township zone projecting advertising device</w:t>
            </w:r>
            <w:r w:rsidRPr="00AD3631">
              <w:rPr>
                <w:rFonts w:ascii="Arial" w:eastAsia="Times New Roman" w:hAnsi="Arial" w:cs="Arial"/>
                <w:sz w:val="20"/>
                <w:szCs w:val="20"/>
                <w:lang w:eastAsia="en-AU"/>
              </w:rPr>
              <w:t xml:space="preserve"> </w:t>
            </w:r>
            <w:hyperlink r:id="rId15" w:tgtFrame="_blank" w:tooltip="Link to larger image (popup)" w:history="1">
              <w:r w:rsidRPr="00AD3631">
                <w:rPr>
                  <w:rFonts w:ascii="Arial" w:eastAsia="Times New Roman" w:hAnsi="Arial" w:cs="Arial"/>
                  <w:color w:val="0000FF"/>
                  <w:sz w:val="20"/>
                  <w:szCs w:val="20"/>
                  <w:lang w:eastAsia="en-AU"/>
                </w:rPr>
                <w:t> </w:t>
              </w:r>
            </w:hyperlink>
          </w:p>
          <w:p w14:paraId="1596BB99"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2DB5AF4B" wp14:editId="2E1290D6">
                  <wp:extent cx="2524125" cy="1962150"/>
                  <wp:effectExtent l="0" t="0" r="9525" b="0"/>
                  <wp:docPr id="4" name="Picture 4" descr="Township zone projecting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wnship zone projecting advertising devi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p w14:paraId="52A79288" w14:textId="77777777" w:rsidR="00AD3631" w:rsidRPr="00AD3631" w:rsidRDefault="00AD3631" w:rsidP="00AD363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does not extend beyond the edges of the wall/façade to which it is attached as shown on Figure  - Projecting advertising device (b). </w:t>
            </w:r>
          </w:p>
          <w:p w14:paraId="01AD3CDC"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(b)</w:t>
            </w:r>
            <w:r w:rsidRPr="00AD3631">
              <w:rPr>
                <w:rFonts w:ascii="Arial" w:eastAsia="Times New Roman" w:hAnsi="Arial" w:cs="Arial"/>
                <w:sz w:val="20"/>
                <w:szCs w:val="20"/>
                <w:lang w:eastAsia="en-AU"/>
              </w:rPr>
              <w:t xml:space="preserve"> </w:t>
            </w:r>
            <w:hyperlink r:id="rId17" w:tgtFrame="_blank" w:tooltip="Link to larger image (popup)" w:history="1">
              <w:r w:rsidRPr="00AD3631">
                <w:rPr>
                  <w:rFonts w:ascii="Arial" w:eastAsia="Times New Roman" w:hAnsi="Arial" w:cs="Arial"/>
                  <w:color w:val="0000FF"/>
                  <w:sz w:val="20"/>
                  <w:szCs w:val="20"/>
                  <w:lang w:eastAsia="en-AU"/>
                </w:rPr>
                <w:t> </w:t>
              </w:r>
            </w:hyperlink>
          </w:p>
          <w:p w14:paraId="6E04620A"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194B36C0" wp14:editId="75802D24">
                  <wp:extent cx="2524125" cy="2152650"/>
                  <wp:effectExtent l="0" t="0" r="9525" b="0"/>
                  <wp:docPr id="3" name="Picture 3" descr="Project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jecting advertising device (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p>
        </w:tc>
      </w:tr>
      <w:tr w:rsidR="00AD3631" w:rsidRPr="00AD3631" w14:paraId="7DB11BA1" w14:textId="77777777"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14:paraId="5232CE1F"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Roof</w:t>
            </w:r>
          </w:p>
        </w:tc>
        <w:tc>
          <w:tcPr>
            <w:tcW w:w="12479" w:type="dxa"/>
            <w:tcBorders>
              <w:top w:val="outset" w:sz="6" w:space="0" w:color="auto"/>
              <w:left w:val="outset" w:sz="6" w:space="0" w:color="auto"/>
              <w:bottom w:val="outset" w:sz="6" w:space="0" w:color="auto"/>
              <w:right w:val="outset" w:sz="6" w:space="0" w:color="auto"/>
            </w:tcBorders>
            <w:hideMark/>
          </w:tcPr>
          <w:p w14:paraId="021A6F1B"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roof Advertising device:</w:t>
            </w:r>
          </w:p>
          <w:p w14:paraId="4B250B3E" w14:textId="77777777"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w:t>
            </w:r>
          </w:p>
          <w:p w14:paraId="672D1859" w14:textId="77777777"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protrude from the surface of the roof or parapet to which it is attached by more than 100mm;</w:t>
            </w:r>
          </w:p>
          <w:p w14:paraId="480C0279" w14:textId="77777777"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any edge of the roof or parapet to which it is attached (Refer to Figure – Roof advertising device).</w:t>
            </w:r>
          </w:p>
          <w:p w14:paraId="0FC7A444"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Roof advertising device</w:t>
            </w:r>
            <w:r w:rsidRPr="00AD3631">
              <w:rPr>
                <w:rFonts w:ascii="Arial" w:eastAsia="Times New Roman" w:hAnsi="Arial" w:cs="Arial"/>
                <w:sz w:val="20"/>
                <w:szCs w:val="20"/>
                <w:lang w:eastAsia="en-AU"/>
              </w:rPr>
              <w:t xml:space="preserve"> </w:t>
            </w:r>
            <w:hyperlink r:id="rId19" w:tgtFrame="_blank" w:tooltip="Link to larger image (popup)" w:history="1">
              <w:r w:rsidRPr="00AD3631">
                <w:rPr>
                  <w:rFonts w:ascii="Arial" w:eastAsia="Times New Roman" w:hAnsi="Arial" w:cs="Arial"/>
                  <w:color w:val="0000FF"/>
                  <w:sz w:val="20"/>
                  <w:szCs w:val="20"/>
                  <w:lang w:eastAsia="en-AU"/>
                </w:rPr>
                <w:t> </w:t>
              </w:r>
            </w:hyperlink>
          </w:p>
          <w:p w14:paraId="78F5830A"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5150A7EA" wp14:editId="1E46988C">
                  <wp:extent cx="2524125" cy="1962150"/>
                  <wp:effectExtent l="0" t="0" r="9525" b="0"/>
                  <wp:docPr id="2" name="Picture 2" descr="Roof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f advertising devi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14:paraId="07E9551B" w14:textId="77777777"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14:paraId="0E7DD937"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Wall/Facade</w:t>
            </w:r>
          </w:p>
        </w:tc>
        <w:tc>
          <w:tcPr>
            <w:tcW w:w="12479" w:type="dxa"/>
            <w:tcBorders>
              <w:top w:val="outset" w:sz="6" w:space="0" w:color="auto"/>
              <w:left w:val="outset" w:sz="6" w:space="0" w:color="auto"/>
              <w:bottom w:val="outset" w:sz="6" w:space="0" w:color="auto"/>
              <w:right w:val="outset" w:sz="6" w:space="0" w:color="auto"/>
            </w:tcBorders>
            <w:hideMark/>
          </w:tcPr>
          <w:p w14:paraId="0D02D1D9" w14:textId="77777777"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wall/façade Advertising device:</w:t>
            </w:r>
          </w:p>
          <w:p w14:paraId="40393485" w14:textId="77777777"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has a maximum thickness of 100mm;</w:t>
            </w:r>
          </w:p>
          <w:p w14:paraId="6DA09F1E" w14:textId="77777777"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the edges of the wall/façade shown on Figure – Wall/façade advertising device.</w:t>
            </w:r>
          </w:p>
          <w:p w14:paraId="460522B5"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Wall/Facade advertising device</w:t>
            </w:r>
            <w:r w:rsidRPr="00AD3631">
              <w:rPr>
                <w:rFonts w:ascii="Arial" w:eastAsia="Times New Roman" w:hAnsi="Arial" w:cs="Arial"/>
                <w:sz w:val="20"/>
                <w:szCs w:val="20"/>
                <w:lang w:eastAsia="en-AU"/>
              </w:rPr>
              <w:t xml:space="preserve"> </w:t>
            </w:r>
            <w:hyperlink r:id="rId21" w:tgtFrame="_blank" w:tooltip="Link to larger image (popup)" w:history="1">
              <w:r w:rsidRPr="00AD3631">
                <w:rPr>
                  <w:rFonts w:ascii="Arial" w:eastAsia="Times New Roman" w:hAnsi="Arial" w:cs="Arial"/>
                  <w:color w:val="0000FF"/>
                  <w:sz w:val="20"/>
                  <w:szCs w:val="20"/>
                  <w:lang w:eastAsia="en-AU"/>
                </w:rPr>
                <w:t> </w:t>
              </w:r>
            </w:hyperlink>
          </w:p>
          <w:p w14:paraId="4E11474E" w14:textId="77777777"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1556F2DA" wp14:editId="43AF4D51">
                  <wp:extent cx="2524125" cy="2152650"/>
                  <wp:effectExtent l="0" t="0" r="9525" b="0"/>
                  <wp:docPr id="1" name="Picture 1" descr="Wall/Facad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ll/Facade advertising devi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p>
        </w:tc>
      </w:tr>
    </w:tbl>
    <w:p w14:paraId="1D729127" w14:textId="77777777" w:rsidR="00AD3631" w:rsidRPr="00AD3631" w:rsidRDefault="00AD3631" w:rsidP="00AD3631">
      <w:pPr>
        <w:shd w:val="clear" w:color="auto" w:fill="FFFFFF"/>
        <w:spacing w:before="100" w:beforeAutospacing="1" w:after="100" w:afterAutospacing="1" w:line="240" w:lineRule="auto"/>
        <w:rPr>
          <w:rFonts w:ascii="Arial" w:eastAsia="Times New Roman" w:hAnsi="Arial" w:cs="Arial"/>
          <w:sz w:val="20"/>
          <w:szCs w:val="20"/>
          <w:lang w:eastAsia="en-AU"/>
        </w:rPr>
      </w:pPr>
    </w:p>
    <w:sectPr w:rsidR="00AD3631" w:rsidRPr="00AD3631" w:rsidSect="00AD3631">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C070" w14:textId="77777777" w:rsidR="00870D2A" w:rsidRDefault="00870D2A" w:rsidP="00236964">
      <w:pPr>
        <w:spacing w:after="0" w:line="240" w:lineRule="auto"/>
      </w:pPr>
      <w:r>
        <w:separator/>
      </w:r>
    </w:p>
  </w:endnote>
  <w:endnote w:type="continuationSeparator" w:id="0">
    <w:p w14:paraId="0E8A18C0" w14:textId="77777777" w:rsidR="00870D2A" w:rsidRDefault="00870D2A" w:rsidP="0023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3D76" w14:textId="77777777" w:rsidR="00637485" w:rsidRDefault="00637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622" w14:textId="4205E300" w:rsidR="00236964" w:rsidRPr="00236964" w:rsidRDefault="00236964">
    <w:pPr>
      <w:pStyle w:val="Footer"/>
      <w:rPr>
        <w:rFonts w:ascii="Arial" w:hAnsi="Arial" w:cs="Arial"/>
        <w:i/>
        <w:sz w:val="20"/>
        <w:szCs w:val="20"/>
      </w:rPr>
    </w:pPr>
    <w:r w:rsidRPr="002C7A6D">
      <w:rPr>
        <w:rFonts w:ascii="Arial" w:hAnsi="Arial" w:cs="Arial"/>
        <w:i/>
        <w:sz w:val="20"/>
        <w:szCs w:val="20"/>
      </w:rPr>
      <w:t xml:space="preserve">MBRC Planning Scheme </w:t>
    </w:r>
    <w:r w:rsidR="00FE564F">
      <w:rPr>
        <w:rFonts w:ascii="Arial" w:hAnsi="Arial" w:cs="Arial"/>
        <w:i/>
        <w:sz w:val="20"/>
        <w:szCs w:val="20"/>
      </w:rPr>
      <w:t xml:space="preserve">Version </w:t>
    </w:r>
    <w:r w:rsidR="00637485">
      <w:rPr>
        <w:rFonts w:ascii="Arial" w:hAnsi="Arial" w:cs="Arial"/>
        <w:i/>
        <w:sz w:val="20"/>
        <w:szCs w:val="20"/>
      </w:rPr>
      <w:t>7</w:t>
    </w:r>
    <w:r w:rsidR="00FE564F">
      <w:rPr>
        <w:rFonts w:ascii="Arial" w:hAnsi="Arial" w:cs="Arial"/>
        <w:i/>
        <w:sz w:val="20"/>
        <w:szCs w:val="20"/>
      </w:rPr>
      <w:t xml:space="preserve"> </w:t>
    </w:r>
    <w:r w:rsidRPr="002C7A6D">
      <w:rPr>
        <w:rFonts w:ascii="Arial" w:hAnsi="Arial" w:cs="Arial"/>
        <w:i/>
        <w:sz w:val="20"/>
        <w:szCs w:val="20"/>
      </w:rPr>
      <w:t xml:space="preserve">- Other development codes - </w:t>
    </w:r>
    <w:r>
      <w:rPr>
        <w:rFonts w:ascii="Arial" w:hAnsi="Arial" w:cs="Arial"/>
        <w:i/>
        <w:sz w:val="20"/>
        <w:szCs w:val="20"/>
      </w:rPr>
      <w:t>Advertising devices</w:t>
    </w:r>
    <w:r w:rsidRPr="002C7A6D">
      <w:rPr>
        <w:rFonts w:ascii="Arial" w:hAnsi="Arial" w:cs="Arial"/>
        <w:i/>
        <w:sz w:val="20"/>
        <w:szCs w:val="20"/>
      </w:rPr>
      <w:t xml:space="preserve"> code - Assessable</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00637485">
          <w:rPr>
            <w:rFonts w:ascii="Arial" w:hAnsi="Arial" w:cs="Arial"/>
            <w:sz w:val="20"/>
            <w:szCs w:val="20"/>
          </w:rPr>
          <w:t xml:space="preserve">                          </w:t>
        </w:r>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30366C">
          <w:rPr>
            <w:rFonts w:ascii="Arial" w:hAnsi="Arial" w:cs="Arial"/>
            <w:noProof/>
            <w:sz w:val="20"/>
            <w:szCs w:val="20"/>
          </w:rPr>
          <w:t>9</w:t>
        </w:r>
        <w:r w:rsidRPr="002C7A6D">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1DDE" w14:textId="77777777" w:rsidR="00637485" w:rsidRDefault="00637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F824" w14:textId="77777777" w:rsidR="00870D2A" w:rsidRDefault="00870D2A" w:rsidP="00236964">
      <w:pPr>
        <w:spacing w:after="0" w:line="240" w:lineRule="auto"/>
      </w:pPr>
      <w:r>
        <w:separator/>
      </w:r>
    </w:p>
  </w:footnote>
  <w:footnote w:type="continuationSeparator" w:id="0">
    <w:p w14:paraId="5B9F7388" w14:textId="77777777" w:rsidR="00870D2A" w:rsidRDefault="00870D2A" w:rsidP="00236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B6F0" w14:textId="77777777" w:rsidR="00637485" w:rsidRDefault="00637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30A4" w14:textId="77777777" w:rsidR="00637485" w:rsidRDefault="00637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C018" w14:textId="77777777" w:rsidR="00637485" w:rsidRDefault="00637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95B"/>
    <w:multiLevelType w:val="multilevel"/>
    <w:tmpl w:val="44A4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E85"/>
    <w:multiLevelType w:val="multilevel"/>
    <w:tmpl w:val="9DBA8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4C0A52"/>
    <w:multiLevelType w:val="multilevel"/>
    <w:tmpl w:val="270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8C029CC"/>
    <w:multiLevelType w:val="multilevel"/>
    <w:tmpl w:val="71A06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436D5A"/>
    <w:multiLevelType w:val="multilevel"/>
    <w:tmpl w:val="CA12C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B301B0"/>
    <w:multiLevelType w:val="multilevel"/>
    <w:tmpl w:val="B3289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973ADF"/>
    <w:multiLevelType w:val="multilevel"/>
    <w:tmpl w:val="98AEF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577135"/>
    <w:multiLevelType w:val="multilevel"/>
    <w:tmpl w:val="8E70C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3078E9"/>
    <w:multiLevelType w:val="multilevel"/>
    <w:tmpl w:val="94061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335C6A"/>
    <w:multiLevelType w:val="multilevel"/>
    <w:tmpl w:val="1284C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A40070"/>
    <w:multiLevelType w:val="multilevel"/>
    <w:tmpl w:val="F056B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9972DA"/>
    <w:multiLevelType w:val="multilevel"/>
    <w:tmpl w:val="A61CF8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75707E"/>
    <w:multiLevelType w:val="multilevel"/>
    <w:tmpl w:val="C310C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0020B53"/>
    <w:multiLevelType w:val="multilevel"/>
    <w:tmpl w:val="418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B2F2D"/>
    <w:multiLevelType w:val="multilevel"/>
    <w:tmpl w:val="01D2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1399E"/>
    <w:multiLevelType w:val="multilevel"/>
    <w:tmpl w:val="4F32C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9854AC"/>
    <w:multiLevelType w:val="multilevel"/>
    <w:tmpl w:val="360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D235F"/>
    <w:multiLevelType w:val="multilevel"/>
    <w:tmpl w:val="6A3AA8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1854271"/>
    <w:multiLevelType w:val="multilevel"/>
    <w:tmpl w:val="46A6C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C9153A"/>
    <w:multiLevelType w:val="multilevel"/>
    <w:tmpl w:val="0E1CA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3C5425"/>
    <w:multiLevelType w:val="multilevel"/>
    <w:tmpl w:val="A7480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7A96788"/>
    <w:multiLevelType w:val="multilevel"/>
    <w:tmpl w:val="0F6C1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C329BB"/>
    <w:multiLevelType w:val="multilevel"/>
    <w:tmpl w:val="594C1A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915614A"/>
    <w:multiLevelType w:val="multilevel"/>
    <w:tmpl w:val="41BC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B27C5"/>
    <w:multiLevelType w:val="multilevel"/>
    <w:tmpl w:val="FB02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AE2D2A"/>
    <w:multiLevelType w:val="multilevel"/>
    <w:tmpl w:val="D8B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45D90"/>
    <w:multiLevelType w:val="multilevel"/>
    <w:tmpl w:val="3D82F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5795F"/>
    <w:multiLevelType w:val="multilevel"/>
    <w:tmpl w:val="0680B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0E7A34"/>
    <w:multiLevelType w:val="multilevel"/>
    <w:tmpl w:val="EEF24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E17C9"/>
    <w:multiLevelType w:val="multilevel"/>
    <w:tmpl w:val="70803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630F2"/>
    <w:multiLevelType w:val="multilevel"/>
    <w:tmpl w:val="01FC6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6B238C"/>
    <w:multiLevelType w:val="multilevel"/>
    <w:tmpl w:val="E1028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C7E35"/>
    <w:multiLevelType w:val="multilevel"/>
    <w:tmpl w:val="054A6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36A7969"/>
    <w:multiLevelType w:val="multilevel"/>
    <w:tmpl w:val="F8E05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5330518">
    <w:abstractNumId w:val="20"/>
  </w:num>
  <w:num w:numId="2" w16cid:durableId="1895195425">
    <w:abstractNumId w:val="13"/>
  </w:num>
  <w:num w:numId="3" w16cid:durableId="1092165681">
    <w:abstractNumId w:val="14"/>
  </w:num>
  <w:num w:numId="4" w16cid:durableId="1522624808">
    <w:abstractNumId w:val="15"/>
  </w:num>
  <w:num w:numId="5" w16cid:durableId="214777290">
    <w:abstractNumId w:val="24"/>
  </w:num>
  <w:num w:numId="6" w16cid:durableId="1531185305">
    <w:abstractNumId w:val="26"/>
  </w:num>
  <w:num w:numId="7" w16cid:durableId="1957522452">
    <w:abstractNumId w:val="0"/>
  </w:num>
  <w:num w:numId="8" w16cid:durableId="1228567847">
    <w:abstractNumId w:val="32"/>
  </w:num>
  <w:num w:numId="9" w16cid:durableId="1401555343">
    <w:abstractNumId w:val="33"/>
  </w:num>
  <w:num w:numId="10" w16cid:durableId="1689453195">
    <w:abstractNumId w:val="2"/>
  </w:num>
  <w:num w:numId="11" w16cid:durableId="967129070">
    <w:abstractNumId w:val="21"/>
  </w:num>
  <w:num w:numId="12" w16cid:durableId="1529417440">
    <w:abstractNumId w:val="18"/>
  </w:num>
  <w:num w:numId="13" w16cid:durableId="275917599">
    <w:abstractNumId w:val="7"/>
  </w:num>
  <w:num w:numId="14" w16cid:durableId="1555048190">
    <w:abstractNumId w:val="12"/>
  </w:num>
  <w:num w:numId="15" w16cid:durableId="998920738">
    <w:abstractNumId w:val="5"/>
  </w:num>
  <w:num w:numId="16" w16cid:durableId="1393844438">
    <w:abstractNumId w:val="6"/>
  </w:num>
  <w:num w:numId="17" w16cid:durableId="1477602040">
    <w:abstractNumId w:val="19"/>
  </w:num>
  <w:num w:numId="18" w16cid:durableId="1937902114">
    <w:abstractNumId w:val="16"/>
  </w:num>
  <w:num w:numId="19" w16cid:durableId="2032489108">
    <w:abstractNumId w:val="1"/>
  </w:num>
  <w:num w:numId="20" w16cid:durableId="973948989">
    <w:abstractNumId w:val="4"/>
  </w:num>
  <w:num w:numId="21" w16cid:durableId="803041913">
    <w:abstractNumId w:val="28"/>
  </w:num>
  <w:num w:numId="22" w16cid:durableId="1486627824">
    <w:abstractNumId w:val="22"/>
  </w:num>
  <w:num w:numId="23" w16cid:durableId="888615266">
    <w:abstractNumId w:val="8"/>
  </w:num>
  <w:num w:numId="24" w16cid:durableId="1693340919">
    <w:abstractNumId w:val="10"/>
  </w:num>
  <w:num w:numId="25" w16cid:durableId="1028721229">
    <w:abstractNumId w:val="31"/>
  </w:num>
  <w:num w:numId="26" w16cid:durableId="141896706">
    <w:abstractNumId w:val="34"/>
  </w:num>
  <w:num w:numId="27" w16cid:durableId="699354114">
    <w:abstractNumId w:val="27"/>
  </w:num>
  <w:num w:numId="28" w16cid:durableId="330720367">
    <w:abstractNumId w:val="30"/>
  </w:num>
  <w:num w:numId="29" w16cid:durableId="1454401738">
    <w:abstractNumId w:val="29"/>
  </w:num>
  <w:num w:numId="30" w16cid:durableId="1345397520">
    <w:abstractNumId w:val="11"/>
  </w:num>
  <w:num w:numId="31" w16cid:durableId="1746805437">
    <w:abstractNumId w:val="23"/>
  </w:num>
  <w:num w:numId="32" w16cid:durableId="135690174">
    <w:abstractNumId w:val="9"/>
  </w:num>
  <w:num w:numId="33" w16cid:durableId="1064992269">
    <w:abstractNumId w:val="25"/>
  </w:num>
  <w:num w:numId="34" w16cid:durableId="2108692614">
    <w:abstractNumId w:val="17"/>
  </w:num>
  <w:num w:numId="35" w16cid:durableId="431441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31"/>
    <w:rsid w:val="000D4047"/>
    <w:rsid w:val="00122EC8"/>
    <w:rsid w:val="00236964"/>
    <w:rsid w:val="0030366C"/>
    <w:rsid w:val="003E33F9"/>
    <w:rsid w:val="00622E87"/>
    <w:rsid w:val="00630315"/>
    <w:rsid w:val="00637485"/>
    <w:rsid w:val="00684836"/>
    <w:rsid w:val="00832188"/>
    <w:rsid w:val="00870D2A"/>
    <w:rsid w:val="00A312DE"/>
    <w:rsid w:val="00AD3631"/>
    <w:rsid w:val="00BB0BF9"/>
    <w:rsid w:val="00CE6481"/>
    <w:rsid w:val="00E220E9"/>
    <w:rsid w:val="00FE5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DF2D"/>
  <w15:chartTrackingRefBased/>
  <w15:docId w15:val="{5CA1703C-9316-4E78-A0BA-C1B3A412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3631"/>
    <w:rPr>
      <w:b/>
      <w:bCs/>
    </w:rPr>
  </w:style>
  <w:style w:type="character" w:customStyle="1" w:styleId="newwindow">
    <w:name w:val="newwindow"/>
    <w:basedOn w:val="DefaultParagraphFont"/>
    <w:rsid w:val="00AD3631"/>
  </w:style>
  <w:style w:type="paragraph" w:styleId="ListParagraph">
    <w:name w:val="List Paragraph"/>
    <w:basedOn w:val="Normal"/>
    <w:uiPriority w:val="34"/>
    <w:qFormat/>
    <w:rsid w:val="00AD3631"/>
    <w:pPr>
      <w:spacing w:after="200" w:line="276" w:lineRule="auto"/>
      <w:ind w:left="720"/>
      <w:contextualSpacing/>
    </w:pPr>
    <w:rPr>
      <w:rFonts w:ascii="Arial" w:hAnsi="Arial"/>
    </w:rPr>
  </w:style>
  <w:style w:type="paragraph" w:styleId="Header">
    <w:name w:val="header"/>
    <w:basedOn w:val="Normal"/>
    <w:link w:val="HeaderChar"/>
    <w:uiPriority w:val="99"/>
    <w:unhideWhenUsed/>
    <w:rsid w:val="0023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64"/>
  </w:style>
  <w:style w:type="paragraph" w:styleId="Footer">
    <w:name w:val="footer"/>
    <w:basedOn w:val="Normal"/>
    <w:link w:val="FooterChar"/>
    <w:uiPriority w:val="99"/>
    <w:unhideWhenUsed/>
    <w:rsid w:val="0023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64"/>
  </w:style>
  <w:style w:type="paragraph" w:styleId="BalloonText">
    <w:name w:val="Balloon Text"/>
    <w:basedOn w:val="Normal"/>
    <w:link w:val="BalloonTextChar"/>
    <w:uiPriority w:val="99"/>
    <w:semiHidden/>
    <w:unhideWhenUsed/>
    <w:rsid w:val="00622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19478">
      <w:bodyDiv w:val="1"/>
      <w:marLeft w:val="0"/>
      <w:marRight w:val="0"/>
      <w:marTop w:val="0"/>
      <w:marBottom w:val="0"/>
      <w:divBdr>
        <w:top w:val="none" w:sz="0" w:space="0" w:color="auto"/>
        <w:left w:val="none" w:sz="0" w:space="0" w:color="auto"/>
        <w:bottom w:val="none" w:sz="0" w:space="0" w:color="auto"/>
        <w:right w:val="none" w:sz="0" w:space="0" w:color="auto"/>
      </w:divBdr>
      <w:divsChild>
        <w:div w:id="340161262">
          <w:marLeft w:val="0"/>
          <w:marRight w:val="0"/>
          <w:marTop w:val="0"/>
          <w:marBottom w:val="0"/>
          <w:divBdr>
            <w:top w:val="none" w:sz="0" w:space="0" w:color="auto"/>
            <w:left w:val="none" w:sz="0" w:space="0" w:color="auto"/>
            <w:bottom w:val="none" w:sz="0" w:space="0" w:color="auto"/>
            <w:right w:val="none" w:sz="0" w:space="0" w:color="auto"/>
          </w:divBdr>
          <w:divsChild>
            <w:div w:id="2026904829">
              <w:marLeft w:val="0"/>
              <w:marRight w:val="0"/>
              <w:marTop w:val="150"/>
              <w:marBottom w:val="0"/>
              <w:divBdr>
                <w:top w:val="none" w:sz="0" w:space="0" w:color="auto"/>
                <w:left w:val="none" w:sz="0" w:space="0" w:color="auto"/>
                <w:bottom w:val="none" w:sz="0" w:space="0" w:color="auto"/>
                <w:right w:val="none" w:sz="0" w:space="0" w:color="auto"/>
              </w:divBdr>
              <w:divsChild>
                <w:div w:id="2138991111">
                  <w:marLeft w:val="3300"/>
                  <w:marRight w:val="0"/>
                  <w:marTop w:val="0"/>
                  <w:marBottom w:val="0"/>
                  <w:divBdr>
                    <w:top w:val="none" w:sz="0" w:space="0" w:color="auto"/>
                    <w:left w:val="none" w:sz="0" w:space="0" w:color="auto"/>
                    <w:bottom w:val="none" w:sz="0" w:space="0" w:color="auto"/>
                    <w:right w:val="none" w:sz="0" w:space="0" w:color="auto"/>
                  </w:divBdr>
                  <w:divsChild>
                    <w:div w:id="691564739">
                      <w:marLeft w:val="0"/>
                      <w:marRight w:val="0"/>
                      <w:marTop w:val="0"/>
                      <w:marBottom w:val="0"/>
                      <w:divBdr>
                        <w:top w:val="single" w:sz="6" w:space="7" w:color="A8A8A8"/>
                        <w:left w:val="single" w:sz="2" w:space="14" w:color="A8A8A8"/>
                        <w:bottom w:val="single" w:sz="6" w:space="7" w:color="A8A8A8"/>
                        <w:right w:val="single" w:sz="2" w:space="14" w:color="A8A8A8"/>
                      </w:divBdr>
                      <w:divsChild>
                        <w:div w:id="1752118193">
                          <w:marLeft w:val="0"/>
                          <w:marRight w:val="0"/>
                          <w:marTop w:val="0"/>
                          <w:marBottom w:val="0"/>
                          <w:divBdr>
                            <w:top w:val="none" w:sz="0" w:space="0" w:color="auto"/>
                            <w:left w:val="none" w:sz="0" w:space="0" w:color="auto"/>
                            <w:bottom w:val="none" w:sz="0" w:space="0" w:color="auto"/>
                            <w:right w:val="none" w:sz="0" w:space="0" w:color="auto"/>
                          </w:divBdr>
                          <w:divsChild>
                            <w:div w:id="1053625581">
                              <w:marLeft w:val="0"/>
                              <w:marRight w:val="0"/>
                              <w:marTop w:val="0"/>
                              <w:marBottom w:val="0"/>
                              <w:divBdr>
                                <w:top w:val="none" w:sz="0" w:space="0" w:color="auto"/>
                                <w:left w:val="none" w:sz="0" w:space="0" w:color="auto"/>
                                <w:bottom w:val="none" w:sz="0" w:space="0" w:color="auto"/>
                                <w:right w:val="none" w:sz="0" w:space="0" w:color="auto"/>
                              </w:divBdr>
                              <w:divsChild>
                                <w:div w:id="47191837">
                                  <w:marLeft w:val="0"/>
                                  <w:marRight w:val="0"/>
                                  <w:marTop w:val="0"/>
                                  <w:marBottom w:val="0"/>
                                  <w:divBdr>
                                    <w:top w:val="none" w:sz="0" w:space="0" w:color="auto"/>
                                    <w:left w:val="none" w:sz="0" w:space="0" w:color="auto"/>
                                    <w:bottom w:val="none" w:sz="0" w:space="0" w:color="auto"/>
                                    <w:right w:val="none" w:sz="0" w:space="0" w:color="auto"/>
                                  </w:divBdr>
                                  <w:divsChild>
                                    <w:div w:id="377825756">
                                      <w:marLeft w:val="0"/>
                                      <w:marRight w:val="0"/>
                                      <w:marTop w:val="0"/>
                                      <w:marBottom w:val="0"/>
                                      <w:divBdr>
                                        <w:top w:val="none" w:sz="0" w:space="0" w:color="auto"/>
                                        <w:left w:val="none" w:sz="0" w:space="0" w:color="auto"/>
                                        <w:bottom w:val="none" w:sz="0" w:space="0" w:color="auto"/>
                                        <w:right w:val="none" w:sz="0" w:space="0" w:color="auto"/>
                                      </w:divBdr>
                                      <w:divsChild>
                                        <w:div w:id="547186134">
                                          <w:marLeft w:val="0"/>
                                          <w:marRight w:val="0"/>
                                          <w:marTop w:val="0"/>
                                          <w:marBottom w:val="0"/>
                                          <w:divBdr>
                                            <w:top w:val="none" w:sz="0" w:space="0" w:color="auto"/>
                                            <w:left w:val="none" w:sz="0" w:space="0" w:color="auto"/>
                                            <w:bottom w:val="none" w:sz="0" w:space="0" w:color="auto"/>
                                            <w:right w:val="none" w:sz="0" w:space="0" w:color="auto"/>
                                          </w:divBdr>
                                          <w:divsChild>
                                            <w:div w:id="1553417181">
                                              <w:marLeft w:val="0"/>
                                              <w:marRight w:val="0"/>
                                              <w:marTop w:val="0"/>
                                              <w:marBottom w:val="0"/>
                                              <w:divBdr>
                                                <w:top w:val="none" w:sz="0" w:space="0" w:color="auto"/>
                                                <w:left w:val="none" w:sz="0" w:space="0" w:color="auto"/>
                                                <w:bottom w:val="none" w:sz="0" w:space="0" w:color="auto"/>
                                                <w:right w:val="none" w:sz="0" w:space="0" w:color="auto"/>
                                              </w:divBdr>
                                              <w:divsChild>
                                                <w:div w:id="682711465">
                                                  <w:marLeft w:val="0"/>
                                                  <w:marRight w:val="0"/>
                                                  <w:marTop w:val="0"/>
                                                  <w:marBottom w:val="0"/>
                                                  <w:divBdr>
                                                    <w:top w:val="none" w:sz="0" w:space="0" w:color="auto"/>
                                                    <w:left w:val="none" w:sz="0" w:space="0" w:color="auto"/>
                                                    <w:bottom w:val="none" w:sz="0" w:space="0" w:color="auto"/>
                                                    <w:right w:val="none" w:sz="0" w:space="0" w:color="auto"/>
                                                  </w:divBdr>
                                                  <w:divsChild>
                                                    <w:div w:id="490217515">
                                                      <w:marLeft w:val="0"/>
                                                      <w:marRight w:val="0"/>
                                                      <w:marTop w:val="0"/>
                                                      <w:marBottom w:val="0"/>
                                                      <w:divBdr>
                                                        <w:top w:val="none" w:sz="0" w:space="0" w:color="auto"/>
                                                        <w:left w:val="none" w:sz="0" w:space="0" w:color="auto"/>
                                                        <w:bottom w:val="none" w:sz="0" w:space="0" w:color="auto"/>
                                                        <w:right w:val="none" w:sz="0" w:space="0" w:color="auto"/>
                                                      </w:divBdr>
                                                    </w:div>
                                                  </w:divsChild>
                                                </w:div>
                                                <w:div w:id="350762739">
                                                  <w:marLeft w:val="0"/>
                                                  <w:marRight w:val="0"/>
                                                  <w:marTop w:val="0"/>
                                                  <w:marBottom w:val="0"/>
                                                  <w:divBdr>
                                                    <w:top w:val="none" w:sz="0" w:space="0" w:color="auto"/>
                                                    <w:left w:val="none" w:sz="0" w:space="0" w:color="auto"/>
                                                    <w:bottom w:val="none" w:sz="0" w:space="0" w:color="auto"/>
                                                    <w:right w:val="none" w:sz="0" w:space="0" w:color="auto"/>
                                                  </w:divBdr>
                                                  <w:divsChild>
                                                    <w:div w:id="111484484">
                                                      <w:marLeft w:val="0"/>
                                                      <w:marRight w:val="0"/>
                                                      <w:marTop w:val="0"/>
                                                      <w:marBottom w:val="0"/>
                                                      <w:divBdr>
                                                        <w:top w:val="none" w:sz="0" w:space="0" w:color="auto"/>
                                                        <w:left w:val="none" w:sz="0" w:space="0" w:color="auto"/>
                                                        <w:bottom w:val="none" w:sz="0" w:space="0" w:color="auto"/>
                                                        <w:right w:val="none" w:sz="0" w:space="0" w:color="auto"/>
                                                      </w:divBdr>
                                                    </w:div>
                                                  </w:divsChild>
                                                </w:div>
                                                <w:div w:id="1645308763">
                                                  <w:marLeft w:val="0"/>
                                                  <w:marRight w:val="0"/>
                                                  <w:marTop w:val="0"/>
                                                  <w:marBottom w:val="0"/>
                                                  <w:divBdr>
                                                    <w:top w:val="none" w:sz="0" w:space="0" w:color="auto"/>
                                                    <w:left w:val="none" w:sz="0" w:space="0" w:color="auto"/>
                                                    <w:bottom w:val="none" w:sz="0" w:space="0" w:color="auto"/>
                                                    <w:right w:val="none" w:sz="0" w:space="0" w:color="auto"/>
                                                  </w:divBdr>
                                                  <w:divsChild>
                                                    <w:div w:id="1327436800">
                                                      <w:marLeft w:val="0"/>
                                                      <w:marRight w:val="0"/>
                                                      <w:marTop w:val="0"/>
                                                      <w:marBottom w:val="0"/>
                                                      <w:divBdr>
                                                        <w:top w:val="none" w:sz="0" w:space="0" w:color="auto"/>
                                                        <w:left w:val="none" w:sz="0" w:space="0" w:color="auto"/>
                                                        <w:bottom w:val="none" w:sz="0" w:space="0" w:color="auto"/>
                                                        <w:right w:val="none" w:sz="0" w:space="0" w:color="auto"/>
                                                      </w:divBdr>
                                                    </w:div>
                                                  </w:divsChild>
                                                </w:div>
                                                <w:div w:id="127629899">
                                                  <w:marLeft w:val="0"/>
                                                  <w:marRight w:val="0"/>
                                                  <w:marTop w:val="0"/>
                                                  <w:marBottom w:val="0"/>
                                                  <w:divBdr>
                                                    <w:top w:val="none" w:sz="0" w:space="0" w:color="auto"/>
                                                    <w:left w:val="none" w:sz="0" w:space="0" w:color="auto"/>
                                                    <w:bottom w:val="none" w:sz="0" w:space="0" w:color="auto"/>
                                                    <w:right w:val="none" w:sz="0" w:space="0" w:color="auto"/>
                                                  </w:divBdr>
                                                  <w:divsChild>
                                                    <w:div w:id="1414282321">
                                                      <w:marLeft w:val="0"/>
                                                      <w:marRight w:val="0"/>
                                                      <w:marTop w:val="0"/>
                                                      <w:marBottom w:val="0"/>
                                                      <w:divBdr>
                                                        <w:top w:val="none" w:sz="0" w:space="0" w:color="auto"/>
                                                        <w:left w:val="none" w:sz="0" w:space="0" w:color="auto"/>
                                                        <w:bottom w:val="none" w:sz="0" w:space="0" w:color="auto"/>
                                                        <w:right w:val="none" w:sz="0" w:space="0" w:color="auto"/>
                                                      </w:divBdr>
                                                    </w:div>
                                                  </w:divsChild>
                                                </w:div>
                                                <w:div w:id="2019114748">
                                                  <w:marLeft w:val="0"/>
                                                  <w:marRight w:val="0"/>
                                                  <w:marTop w:val="0"/>
                                                  <w:marBottom w:val="0"/>
                                                  <w:divBdr>
                                                    <w:top w:val="none" w:sz="0" w:space="0" w:color="auto"/>
                                                    <w:left w:val="none" w:sz="0" w:space="0" w:color="auto"/>
                                                    <w:bottom w:val="none" w:sz="0" w:space="0" w:color="auto"/>
                                                    <w:right w:val="none" w:sz="0" w:space="0" w:color="auto"/>
                                                  </w:divBdr>
                                                  <w:divsChild>
                                                    <w:div w:id="448668511">
                                                      <w:marLeft w:val="0"/>
                                                      <w:marRight w:val="0"/>
                                                      <w:marTop w:val="0"/>
                                                      <w:marBottom w:val="0"/>
                                                      <w:divBdr>
                                                        <w:top w:val="none" w:sz="0" w:space="0" w:color="auto"/>
                                                        <w:left w:val="none" w:sz="0" w:space="0" w:color="auto"/>
                                                        <w:bottom w:val="none" w:sz="0" w:space="0" w:color="auto"/>
                                                        <w:right w:val="none" w:sz="0" w:space="0" w:color="auto"/>
                                                      </w:divBdr>
                                                    </w:div>
                                                  </w:divsChild>
                                                </w:div>
                                                <w:div w:id="1165320480">
                                                  <w:marLeft w:val="0"/>
                                                  <w:marRight w:val="0"/>
                                                  <w:marTop w:val="0"/>
                                                  <w:marBottom w:val="0"/>
                                                  <w:divBdr>
                                                    <w:top w:val="none" w:sz="0" w:space="0" w:color="auto"/>
                                                    <w:left w:val="none" w:sz="0" w:space="0" w:color="auto"/>
                                                    <w:bottom w:val="none" w:sz="0" w:space="0" w:color="auto"/>
                                                    <w:right w:val="none" w:sz="0" w:space="0" w:color="auto"/>
                                                  </w:divBdr>
                                                  <w:divsChild>
                                                    <w:div w:id="1367364966">
                                                      <w:marLeft w:val="0"/>
                                                      <w:marRight w:val="0"/>
                                                      <w:marTop w:val="0"/>
                                                      <w:marBottom w:val="0"/>
                                                      <w:divBdr>
                                                        <w:top w:val="none" w:sz="0" w:space="0" w:color="auto"/>
                                                        <w:left w:val="none" w:sz="0" w:space="0" w:color="auto"/>
                                                        <w:bottom w:val="none" w:sz="0" w:space="0" w:color="auto"/>
                                                        <w:right w:val="none" w:sz="0" w:space="0" w:color="auto"/>
                                                      </w:divBdr>
                                                    </w:div>
                                                  </w:divsChild>
                                                </w:div>
                                                <w:div w:id="1787775936">
                                                  <w:marLeft w:val="0"/>
                                                  <w:marRight w:val="0"/>
                                                  <w:marTop w:val="0"/>
                                                  <w:marBottom w:val="0"/>
                                                  <w:divBdr>
                                                    <w:top w:val="none" w:sz="0" w:space="0" w:color="auto"/>
                                                    <w:left w:val="none" w:sz="0" w:space="0" w:color="auto"/>
                                                    <w:bottom w:val="none" w:sz="0" w:space="0" w:color="auto"/>
                                                    <w:right w:val="none" w:sz="0" w:space="0" w:color="auto"/>
                                                  </w:divBdr>
                                                  <w:divsChild>
                                                    <w:div w:id="2145267104">
                                                      <w:marLeft w:val="0"/>
                                                      <w:marRight w:val="0"/>
                                                      <w:marTop w:val="0"/>
                                                      <w:marBottom w:val="0"/>
                                                      <w:divBdr>
                                                        <w:top w:val="none" w:sz="0" w:space="0" w:color="auto"/>
                                                        <w:left w:val="none" w:sz="0" w:space="0" w:color="auto"/>
                                                        <w:bottom w:val="none" w:sz="0" w:space="0" w:color="auto"/>
                                                        <w:right w:val="none" w:sz="0" w:space="0" w:color="auto"/>
                                                      </w:divBdr>
                                                    </w:div>
                                                  </w:divsChild>
                                                </w:div>
                                                <w:div w:id="1974360305">
                                                  <w:marLeft w:val="0"/>
                                                  <w:marRight w:val="0"/>
                                                  <w:marTop w:val="0"/>
                                                  <w:marBottom w:val="0"/>
                                                  <w:divBdr>
                                                    <w:top w:val="none" w:sz="0" w:space="0" w:color="auto"/>
                                                    <w:left w:val="none" w:sz="0" w:space="0" w:color="auto"/>
                                                    <w:bottom w:val="none" w:sz="0" w:space="0" w:color="auto"/>
                                                    <w:right w:val="none" w:sz="0" w:space="0" w:color="auto"/>
                                                  </w:divBdr>
                                                  <w:divsChild>
                                                    <w:div w:id="870649486">
                                                      <w:marLeft w:val="0"/>
                                                      <w:marRight w:val="0"/>
                                                      <w:marTop w:val="0"/>
                                                      <w:marBottom w:val="0"/>
                                                      <w:divBdr>
                                                        <w:top w:val="none" w:sz="0" w:space="0" w:color="auto"/>
                                                        <w:left w:val="none" w:sz="0" w:space="0" w:color="auto"/>
                                                        <w:bottom w:val="none" w:sz="0" w:space="0" w:color="auto"/>
                                                        <w:right w:val="none" w:sz="0" w:space="0" w:color="auto"/>
                                                      </w:divBdr>
                                                    </w:div>
                                                  </w:divsChild>
                                                </w:div>
                                                <w:div w:id="421268658">
                                                  <w:marLeft w:val="0"/>
                                                  <w:marRight w:val="0"/>
                                                  <w:marTop w:val="0"/>
                                                  <w:marBottom w:val="0"/>
                                                  <w:divBdr>
                                                    <w:top w:val="none" w:sz="0" w:space="0" w:color="auto"/>
                                                    <w:left w:val="none" w:sz="0" w:space="0" w:color="auto"/>
                                                    <w:bottom w:val="none" w:sz="0" w:space="0" w:color="auto"/>
                                                    <w:right w:val="none" w:sz="0" w:space="0" w:color="auto"/>
                                                  </w:divBdr>
                                                  <w:divsChild>
                                                    <w:div w:id="1711149905">
                                                      <w:marLeft w:val="0"/>
                                                      <w:marRight w:val="0"/>
                                                      <w:marTop w:val="0"/>
                                                      <w:marBottom w:val="0"/>
                                                      <w:divBdr>
                                                        <w:top w:val="none" w:sz="0" w:space="0" w:color="auto"/>
                                                        <w:left w:val="none" w:sz="0" w:space="0" w:color="auto"/>
                                                        <w:bottom w:val="none" w:sz="0" w:space="0" w:color="auto"/>
                                                        <w:right w:val="none" w:sz="0" w:space="0" w:color="auto"/>
                                                      </w:divBdr>
                                                    </w:div>
                                                  </w:divsChild>
                                                </w:div>
                                                <w:div w:id="834296774">
                                                  <w:marLeft w:val="0"/>
                                                  <w:marRight w:val="0"/>
                                                  <w:marTop w:val="0"/>
                                                  <w:marBottom w:val="0"/>
                                                  <w:divBdr>
                                                    <w:top w:val="none" w:sz="0" w:space="0" w:color="auto"/>
                                                    <w:left w:val="none" w:sz="0" w:space="0" w:color="auto"/>
                                                    <w:bottom w:val="none" w:sz="0" w:space="0" w:color="auto"/>
                                                    <w:right w:val="none" w:sz="0" w:space="0" w:color="auto"/>
                                                  </w:divBdr>
                                                  <w:divsChild>
                                                    <w:div w:id="1921715435">
                                                      <w:marLeft w:val="0"/>
                                                      <w:marRight w:val="0"/>
                                                      <w:marTop w:val="0"/>
                                                      <w:marBottom w:val="0"/>
                                                      <w:divBdr>
                                                        <w:top w:val="none" w:sz="0" w:space="0" w:color="auto"/>
                                                        <w:left w:val="none" w:sz="0" w:space="0" w:color="auto"/>
                                                        <w:bottom w:val="none" w:sz="0" w:space="0" w:color="auto"/>
                                                        <w:right w:val="none" w:sz="0" w:space="0" w:color="auto"/>
                                                      </w:divBdr>
                                                    </w:div>
                                                  </w:divsChild>
                                                </w:div>
                                                <w:div w:id="726495460">
                                                  <w:marLeft w:val="0"/>
                                                  <w:marRight w:val="0"/>
                                                  <w:marTop w:val="0"/>
                                                  <w:marBottom w:val="0"/>
                                                  <w:divBdr>
                                                    <w:top w:val="none" w:sz="0" w:space="0" w:color="auto"/>
                                                    <w:left w:val="none" w:sz="0" w:space="0" w:color="auto"/>
                                                    <w:bottom w:val="none" w:sz="0" w:space="0" w:color="auto"/>
                                                    <w:right w:val="none" w:sz="0" w:space="0" w:color="auto"/>
                                                  </w:divBdr>
                                                  <w:divsChild>
                                                    <w:div w:id="1299610447">
                                                      <w:marLeft w:val="0"/>
                                                      <w:marRight w:val="0"/>
                                                      <w:marTop w:val="0"/>
                                                      <w:marBottom w:val="0"/>
                                                      <w:divBdr>
                                                        <w:top w:val="none" w:sz="0" w:space="0" w:color="auto"/>
                                                        <w:left w:val="none" w:sz="0" w:space="0" w:color="auto"/>
                                                        <w:bottom w:val="none" w:sz="0" w:space="0" w:color="auto"/>
                                                        <w:right w:val="none" w:sz="0" w:space="0" w:color="auto"/>
                                                      </w:divBdr>
                                                    </w:div>
                                                  </w:divsChild>
                                                </w:div>
                                                <w:div w:id="2061436592">
                                                  <w:marLeft w:val="0"/>
                                                  <w:marRight w:val="0"/>
                                                  <w:marTop w:val="0"/>
                                                  <w:marBottom w:val="0"/>
                                                  <w:divBdr>
                                                    <w:top w:val="none" w:sz="0" w:space="0" w:color="auto"/>
                                                    <w:left w:val="none" w:sz="0" w:space="0" w:color="auto"/>
                                                    <w:bottom w:val="none" w:sz="0" w:space="0" w:color="auto"/>
                                                    <w:right w:val="none" w:sz="0" w:space="0" w:color="auto"/>
                                                  </w:divBdr>
                                                  <w:divsChild>
                                                    <w:div w:id="1591038528">
                                                      <w:marLeft w:val="0"/>
                                                      <w:marRight w:val="0"/>
                                                      <w:marTop w:val="0"/>
                                                      <w:marBottom w:val="0"/>
                                                      <w:divBdr>
                                                        <w:top w:val="none" w:sz="0" w:space="0" w:color="auto"/>
                                                        <w:left w:val="none" w:sz="0" w:space="0" w:color="auto"/>
                                                        <w:bottom w:val="none" w:sz="0" w:space="0" w:color="auto"/>
                                                        <w:right w:val="none" w:sz="0" w:space="0" w:color="auto"/>
                                                      </w:divBdr>
                                                    </w:div>
                                                  </w:divsChild>
                                                </w:div>
                                                <w:div w:id="830947357">
                                                  <w:marLeft w:val="0"/>
                                                  <w:marRight w:val="0"/>
                                                  <w:marTop w:val="0"/>
                                                  <w:marBottom w:val="0"/>
                                                  <w:divBdr>
                                                    <w:top w:val="none" w:sz="0" w:space="0" w:color="auto"/>
                                                    <w:left w:val="none" w:sz="0" w:space="0" w:color="auto"/>
                                                    <w:bottom w:val="none" w:sz="0" w:space="0" w:color="auto"/>
                                                    <w:right w:val="none" w:sz="0" w:space="0" w:color="auto"/>
                                                  </w:divBdr>
                                                  <w:divsChild>
                                                    <w:div w:id="2658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6165">
                                          <w:marLeft w:val="0"/>
                                          <w:marRight w:val="0"/>
                                          <w:marTop w:val="0"/>
                                          <w:marBottom w:val="0"/>
                                          <w:divBdr>
                                            <w:top w:val="none" w:sz="0" w:space="0" w:color="auto"/>
                                            <w:left w:val="none" w:sz="0" w:space="0" w:color="auto"/>
                                            <w:bottom w:val="none" w:sz="0" w:space="0" w:color="auto"/>
                                            <w:right w:val="none" w:sz="0" w:space="0" w:color="auto"/>
                                          </w:divBdr>
                                          <w:divsChild>
                                            <w:div w:id="1050499063">
                                              <w:marLeft w:val="0"/>
                                              <w:marRight w:val="0"/>
                                              <w:marTop w:val="0"/>
                                              <w:marBottom w:val="0"/>
                                              <w:divBdr>
                                                <w:top w:val="none" w:sz="0" w:space="0" w:color="auto"/>
                                                <w:left w:val="none" w:sz="0" w:space="0" w:color="auto"/>
                                                <w:bottom w:val="none" w:sz="0" w:space="0" w:color="auto"/>
                                                <w:right w:val="none" w:sz="0" w:space="0" w:color="auto"/>
                                              </w:divBdr>
                                              <w:divsChild>
                                                <w:div w:id="849417125">
                                                  <w:marLeft w:val="0"/>
                                                  <w:marRight w:val="0"/>
                                                  <w:marTop w:val="0"/>
                                                  <w:marBottom w:val="0"/>
                                                  <w:divBdr>
                                                    <w:top w:val="none" w:sz="0" w:space="0" w:color="auto"/>
                                                    <w:left w:val="none" w:sz="0" w:space="0" w:color="auto"/>
                                                    <w:bottom w:val="none" w:sz="0" w:space="0" w:color="auto"/>
                                                    <w:right w:val="none" w:sz="0" w:space="0" w:color="auto"/>
                                                  </w:divBdr>
                                                  <w:divsChild>
                                                    <w:div w:id="1871457144">
                                                      <w:marLeft w:val="0"/>
                                                      <w:marRight w:val="0"/>
                                                      <w:marTop w:val="45"/>
                                                      <w:marBottom w:val="45"/>
                                                      <w:divBdr>
                                                        <w:top w:val="none" w:sz="0" w:space="0" w:color="auto"/>
                                                        <w:left w:val="none" w:sz="0" w:space="0" w:color="auto"/>
                                                        <w:bottom w:val="none" w:sz="0" w:space="0" w:color="auto"/>
                                                        <w:right w:val="none" w:sz="0" w:space="0" w:color="auto"/>
                                                      </w:divBdr>
                                                    </w:div>
                                                  </w:divsChild>
                                                </w:div>
                                                <w:div w:id="405733399">
                                                  <w:marLeft w:val="0"/>
                                                  <w:marRight w:val="0"/>
                                                  <w:marTop w:val="0"/>
                                                  <w:marBottom w:val="0"/>
                                                  <w:divBdr>
                                                    <w:top w:val="none" w:sz="0" w:space="0" w:color="auto"/>
                                                    <w:left w:val="none" w:sz="0" w:space="0" w:color="auto"/>
                                                    <w:bottom w:val="none" w:sz="0" w:space="0" w:color="auto"/>
                                                    <w:right w:val="none" w:sz="0" w:space="0" w:color="auto"/>
                                                  </w:divBdr>
                                                  <w:divsChild>
                                                    <w:div w:id="1010914984">
                                                      <w:marLeft w:val="0"/>
                                                      <w:marRight w:val="0"/>
                                                      <w:marTop w:val="45"/>
                                                      <w:marBottom w:val="45"/>
                                                      <w:divBdr>
                                                        <w:top w:val="none" w:sz="0" w:space="0" w:color="auto"/>
                                                        <w:left w:val="none" w:sz="0" w:space="0" w:color="auto"/>
                                                        <w:bottom w:val="none" w:sz="0" w:space="0" w:color="auto"/>
                                                        <w:right w:val="none" w:sz="0" w:space="0" w:color="auto"/>
                                                      </w:divBdr>
                                                    </w:div>
                                                  </w:divsChild>
                                                </w:div>
                                                <w:div w:id="655688516">
                                                  <w:marLeft w:val="0"/>
                                                  <w:marRight w:val="0"/>
                                                  <w:marTop w:val="0"/>
                                                  <w:marBottom w:val="0"/>
                                                  <w:divBdr>
                                                    <w:top w:val="none" w:sz="0" w:space="0" w:color="auto"/>
                                                    <w:left w:val="none" w:sz="0" w:space="0" w:color="auto"/>
                                                    <w:bottom w:val="none" w:sz="0" w:space="0" w:color="auto"/>
                                                    <w:right w:val="none" w:sz="0" w:space="0" w:color="auto"/>
                                                  </w:divBdr>
                                                  <w:divsChild>
                                                    <w:div w:id="342127522">
                                                      <w:marLeft w:val="0"/>
                                                      <w:marRight w:val="0"/>
                                                      <w:marTop w:val="45"/>
                                                      <w:marBottom w:val="45"/>
                                                      <w:divBdr>
                                                        <w:top w:val="none" w:sz="0" w:space="0" w:color="auto"/>
                                                        <w:left w:val="none" w:sz="0" w:space="0" w:color="auto"/>
                                                        <w:bottom w:val="none" w:sz="0" w:space="0" w:color="auto"/>
                                                        <w:right w:val="none" w:sz="0" w:space="0" w:color="auto"/>
                                                      </w:divBdr>
                                                    </w:div>
                                                  </w:divsChild>
                                                </w:div>
                                                <w:div w:id="445075776">
                                                  <w:marLeft w:val="0"/>
                                                  <w:marRight w:val="0"/>
                                                  <w:marTop w:val="0"/>
                                                  <w:marBottom w:val="0"/>
                                                  <w:divBdr>
                                                    <w:top w:val="none" w:sz="0" w:space="0" w:color="auto"/>
                                                    <w:left w:val="none" w:sz="0" w:space="0" w:color="auto"/>
                                                    <w:bottom w:val="none" w:sz="0" w:space="0" w:color="auto"/>
                                                    <w:right w:val="none" w:sz="0" w:space="0" w:color="auto"/>
                                                  </w:divBdr>
                                                  <w:divsChild>
                                                    <w:div w:id="2063823971">
                                                      <w:marLeft w:val="0"/>
                                                      <w:marRight w:val="0"/>
                                                      <w:marTop w:val="0"/>
                                                      <w:marBottom w:val="0"/>
                                                      <w:divBdr>
                                                        <w:top w:val="none" w:sz="0" w:space="0" w:color="auto"/>
                                                        <w:left w:val="none" w:sz="0" w:space="0" w:color="auto"/>
                                                        <w:bottom w:val="none" w:sz="0" w:space="0" w:color="auto"/>
                                                        <w:right w:val="none" w:sz="0" w:space="0" w:color="auto"/>
                                                      </w:divBdr>
                                                      <w:divsChild>
                                                        <w:div w:id="478116698">
                                                          <w:marLeft w:val="0"/>
                                                          <w:marRight w:val="0"/>
                                                          <w:marTop w:val="0"/>
                                                          <w:marBottom w:val="0"/>
                                                          <w:divBdr>
                                                            <w:top w:val="none" w:sz="0" w:space="0" w:color="auto"/>
                                                            <w:left w:val="none" w:sz="0" w:space="0" w:color="auto"/>
                                                            <w:bottom w:val="none" w:sz="0" w:space="0" w:color="auto"/>
                                                            <w:right w:val="none" w:sz="0" w:space="0" w:color="auto"/>
                                                          </w:divBdr>
                                                          <w:divsChild>
                                                            <w:div w:id="334890282">
                                                              <w:marLeft w:val="0"/>
                                                              <w:marRight w:val="0"/>
                                                              <w:marTop w:val="0"/>
                                                              <w:marBottom w:val="0"/>
                                                              <w:divBdr>
                                                                <w:top w:val="none" w:sz="0" w:space="0" w:color="auto"/>
                                                                <w:left w:val="none" w:sz="0" w:space="0" w:color="auto"/>
                                                                <w:bottom w:val="none" w:sz="0" w:space="0" w:color="auto"/>
                                                                <w:right w:val="none" w:sz="0" w:space="0" w:color="auto"/>
                                                              </w:divBdr>
                                                            </w:div>
                                                          </w:divsChild>
                                                        </w:div>
                                                        <w:div w:id="1408990062">
                                                          <w:marLeft w:val="0"/>
                                                          <w:marRight w:val="0"/>
                                                          <w:marTop w:val="0"/>
                                                          <w:marBottom w:val="0"/>
                                                          <w:divBdr>
                                                            <w:top w:val="none" w:sz="0" w:space="0" w:color="auto"/>
                                                            <w:left w:val="none" w:sz="0" w:space="0" w:color="auto"/>
                                                            <w:bottom w:val="none" w:sz="0" w:space="0" w:color="auto"/>
                                                            <w:right w:val="none" w:sz="0" w:space="0" w:color="auto"/>
                                                          </w:divBdr>
                                                          <w:divsChild>
                                                            <w:div w:id="541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6646">
                                                  <w:marLeft w:val="0"/>
                                                  <w:marRight w:val="0"/>
                                                  <w:marTop w:val="0"/>
                                                  <w:marBottom w:val="0"/>
                                                  <w:divBdr>
                                                    <w:top w:val="none" w:sz="0" w:space="0" w:color="auto"/>
                                                    <w:left w:val="none" w:sz="0" w:space="0" w:color="auto"/>
                                                    <w:bottom w:val="none" w:sz="0" w:space="0" w:color="auto"/>
                                                    <w:right w:val="none" w:sz="0" w:space="0" w:color="auto"/>
                                                  </w:divBdr>
                                                  <w:divsChild>
                                                    <w:div w:id="1683631678">
                                                      <w:marLeft w:val="0"/>
                                                      <w:marRight w:val="0"/>
                                                      <w:marTop w:val="45"/>
                                                      <w:marBottom w:val="45"/>
                                                      <w:divBdr>
                                                        <w:top w:val="none" w:sz="0" w:space="0" w:color="auto"/>
                                                        <w:left w:val="none" w:sz="0" w:space="0" w:color="auto"/>
                                                        <w:bottom w:val="none" w:sz="0" w:space="0" w:color="auto"/>
                                                        <w:right w:val="none" w:sz="0" w:space="0" w:color="auto"/>
                                                      </w:divBdr>
                                                    </w:div>
                                                  </w:divsChild>
                                                </w:div>
                                                <w:div w:id="1162701590">
                                                  <w:marLeft w:val="0"/>
                                                  <w:marRight w:val="0"/>
                                                  <w:marTop w:val="0"/>
                                                  <w:marBottom w:val="0"/>
                                                  <w:divBdr>
                                                    <w:top w:val="none" w:sz="0" w:space="0" w:color="auto"/>
                                                    <w:left w:val="none" w:sz="0" w:space="0" w:color="auto"/>
                                                    <w:bottom w:val="none" w:sz="0" w:space="0" w:color="auto"/>
                                                    <w:right w:val="none" w:sz="0" w:space="0" w:color="auto"/>
                                                  </w:divBdr>
                                                  <w:divsChild>
                                                    <w:div w:id="440802718">
                                                      <w:marLeft w:val="0"/>
                                                      <w:marRight w:val="0"/>
                                                      <w:marTop w:val="45"/>
                                                      <w:marBottom w:val="45"/>
                                                      <w:divBdr>
                                                        <w:top w:val="none" w:sz="0" w:space="0" w:color="auto"/>
                                                        <w:left w:val="none" w:sz="0" w:space="0" w:color="auto"/>
                                                        <w:bottom w:val="none" w:sz="0" w:space="0" w:color="auto"/>
                                                        <w:right w:val="none" w:sz="0" w:space="0" w:color="auto"/>
                                                      </w:divBdr>
                                                    </w:div>
                                                  </w:divsChild>
                                                </w:div>
                                                <w:div w:id="1696345733">
                                                  <w:marLeft w:val="0"/>
                                                  <w:marRight w:val="0"/>
                                                  <w:marTop w:val="0"/>
                                                  <w:marBottom w:val="0"/>
                                                  <w:divBdr>
                                                    <w:top w:val="none" w:sz="0" w:space="0" w:color="auto"/>
                                                    <w:left w:val="none" w:sz="0" w:space="0" w:color="auto"/>
                                                    <w:bottom w:val="none" w:sz="0" w:space="0" w:color="auto"/>
                                                    <w:right w:val="none" w:sz="0" w:space="0" w:color="auto"/>
                                                  </w:divBdr>
                                                  <w:divsChild>
                                                    <w:div w:id="1131485999">
                                                      <w:marLeft w:val="0"/>
                                                      <w:marRight w:val="0"/>
                                                      <w:marTop w:val="45"/>
                                                      <w:marBottom w:val="45"/>
                                                      <w:divBdr>
                                                        <w:top w:val="none" w:sz="0" w:space="0" w:color="auto"/>
                                                        <w:left w:val="none" w:sz="0" w:space="0" w:color="auto"/>
                                                        <w:bottom w:val="none" w:sz="0" w:space="0" w:color="auto"/>
                                                        <w:right w:val="none" w:sz="0" w:space="0" w:color="auto"/>
                                                      </w:divBdr>
                                                    </w:div>
                                                  </w:divsChild>
                                                </w:div>
                                                <w:div w:id="1137144081">
                                                  <w:marLeft w:val="0"/>
                                                  <w:marRight w:val="0"/>
                                                  <w:marTop w:val="0"/>
                                                  <w:marBottom w:val="0"/>
                                                  <w:divBdr>
                                                    <w:top w:val="none" w:sz="0" w:space="0" w:color="auto"/>
                                                    <w:left w:val="none" w:sz="0" w:space="0" w:color="auto"/>
                                                    <w:bottom w:val="none" w:sz="0" w:space="0" w:color="auto"/>
                                                    <w:right w:val="none" w:sz="0" w:space="0" w:color="auto"/>
                                                  </w:divBdr>
                                                  <w:divsChild>
                                                    <w:div w:id="645744473">
                                                      <w:marLeft w:val="0"/>
                                                      <w:marRight w:val="0"/>
                                                      <w:marTop w:val="45"/>
                                                      <w:marBottom w:val="45"/>
                                                      <w:divBdr>
                                                        <w:top w:val="none" w:sz="0" w:space="0" w:color="auto"/>
                                                        <w:left w:val="none" w:sz="0" w:space="0" w:color="auto"/>
                                                        <w:bottom w:val="none" w:sz="0" w:space="0" w:color="auto"/>
                                                        <w:right w:val="none" w:sz="0" w:space="0" w:color="auto"/>
                                                      </w:divBdr>
                                                    </w:div>
                                                  </w:divsChild>
                                                </w:div>
                                                <w:div w:id="1984966487">
                                                  <w:marLeft w:val="0"/>
                                                  <w:marRight w:val="0"/>
                                                  <w:marTop w:val="0"/>
                                                  <w:marBottom w:val="0"/>
                                                  <w:divBdr>
                                                    <w:top w:val="none" w:sz="0" w:space="0" w:color="auto"/>
                                                    <w:left w:val="none" w:sz="0" w:space="0" w:color="auto"/>
                                                    <w:bottom w:val="none" w:sz="0" w:space="0" w:color="auto"/>
                                                    <w:right w:val="none" w:sz="0" w:space="0" w:color="auto"/>
                                                  </w:divBdr>
                                                  <w:divsChild>
                                                    <w:div w:id="139824278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032890">
                  <w:marLeft w:val="3300"/>
                  <w:marRight w:val="0"/>
                  <w:marTop w:val="0"/>
                  <w:marBottom w:val="0"/>
                  <w:divBdr>
                    <w:top w:val="single" w:sz="2" w:space="0" w:color="A8A8A8"/>
                    <w:left w:val="single" w:sz="6" w:space="0" w:color="A8A8A8"/>
                    <w:bottom w:val="single" w:sz="2" w:space="0" w:color="A8A8A8"/>
                    <w:right w:val="single" w:sz="6" w:space="0" w:color="A8A8A8"/>
                  </w:divBdr>
                  <w:divsChild>
                    <w:div w:id="1807817535">
                      <w:marLeft w:val="-15"/>
                      <w:marRight w:val="-15"/>
                      <w:marTop w:val="0"/>
                      <w:marBottom w:val="0"/>
                      <w:divBdr>
                        <w:top w:val="none" w:sz="0" w:space="0" w:color="auto"/>
                        <w:left w:val="none" w:sz="0" w:space="0" w:color="auto"/>
                        <w:bottom w:val="none" w:sz="0" w:space="0" w:color="auto"/>
                        <w:right w:val="none" w:sz="0" w:space="0" w:color="auto"/>
                      </w:divBdr>
                      <w:divsChild>
                        <w:div w:id="5847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events/3497/popimage_d60297e446408.html" TargetMode="External"/><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consult.moretonbay.qld.gov.au/events/3497/popimage_d60297e446455.html" TargetMode="External"/><Relationship Id="rId7" Type="http://schemas.openxmlformats.org/officeDocument/2006/relationships/hyperlink" Target="http://consult.moretonbay.qld.gov.au/events/3497/popimage_d60297e446209.html" TargetMode="External"/><Relationship Id="rId12" Type="http://schemas.openxmlformats.org/officeDocument/2006/relationships/image" Target="media/image3.jpeg"/><Relationship Id="rId17" Type="http://schemas.openxmlformats.org/officeDocument/2006/relationships/hyperlink" Target="http://consult.moretonbay.qld.gov.au/events/3497/popimage_d60297e446418.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446227.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consult.moretonbay.qld.gov.au/events/3497/popimage_d60297e446411.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consult.moretonbay.qld.gov.au/events/3497/popimage_d60297e446438.html"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446210.html"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3315</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2024-10-31T23:41:00Z</dcterms:created>
  <dcterms:modified xsi:type="dcterms:W3CDTF">2024-11-01T00:00:00Z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A19423904</vt:lpwstr>
  </property>
  <property fmtid="{D5CDD505-2E9C-101B-9397-08002B2CF9AE}" pid="4" name="Objective-Title">
    <vt:lpwstr>9.4.4 Advertising devices code - Assessable UPDATED</vt:lpwstr>
  </property>
  <property fmtid="{D5CDD505-2E9C-101B-9397-08002B2CF9AE}" pid="5" name="Objective-Comment">
    <vt:lpwstr/>
  </property>
  <property fmtid="{D5CDD505-2E9C-101B-9397-08002B2CF9AE}" pid="6" name="Objective-CreationStamp">
    <vt:filetime>2019-12-03T02:39:59Z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2020-01-07T03:42:19Z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